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CEE4B" w14:textId="785D8B50" w:rsidR="00207664" w:rsidRDefault="009C36F4" w:rsidP="005B3AE8">
      <w:pPr>
        <w:pStyle w:val="Heading1"/>
        <w:tabs>
          <w:tab w:val="left" w:pos="6675"/>
        </w:tabs>
        <w:ind w:left="-1800" w:firstLine="180"/>
      </w:pPr>
      <w:bookmarkStart w:id="0" w:name="_GoBack"/>
      <w:bookmarkEnd w:id="0"/>
      <w:r>
        <w:rPr>
          <w:sz w:val="24"/>
        </w:rPr>
        <w:t>Issue</w:t>
      </w:r>
      <w:r w:rsidR="00207664">
        <w:rPr>
          <w:sz w:val="24"/>
        </w:rPr>
        <w:tab/>
      </w:r>
    </w:p>
    <w:p w14:paraId="542F7875" w14:textId="1705CEA8" w:rsidR="00170181" w:rsidRPr="000A10AD" w:rsidRDefault="00070BBF" w:rsidP="00170181">
      <w:pPr>
        <w:pStyle w:val="Heading1"/>
        <w:tabs>
          <w:tab w:val="left" w:pos="6675"/>
        </w:tabs>
        <w:ind w:left="-810"/>
        <w:rPr>
          <w:rFonts w:ascii="Garamond" w:hAnsi="Garamond"/>
          <w:bCs w:val="0"/>
          <w:color w:val="auto"/>
          <w:kern w:val="0"/>
          <w:sz w:val="22"/>
          <w:szCs w:val="20"/>
        </w:rPr>
      </w:pPr>
      <w:r w:rsidRPr="000A10AD">
        <w:rPr>
          <w:rFonts w:ascii="Garamond" w:hAnsi="Garamond"/>
          <w:bCs w:val="0"/>
          <w:color w:val="auto"/>
          <w:kern w:val="0"/>
          <w:sz w:val="22"/>
          <w:szCs w:val="20"/>
        </w:rPr>
        <w:t xml:space="preserve">The use of an allowance for doubtful accounts </w:t>
      </w:r>
      <w:r w:rsidR="005D197D" w:rsidRPr="000A10AD">
        <w:rPr>
          <w:rFonts w:ascii="Garamond" w:hAnsi="Garamond"/>
          <w:bCs w:val="0"/>
          <w:color w:val="auto"/>
          <w:kern w:val="0"/>
          <w:sz w:val="22"/>
          <w:szCs w:val="20"/>
        </w:rPr>
        <w:t xml:space="preserve">to record bad debt expense </w:t>
      </w:r>
      <w:r w:rsidRPr="000A10AD">
        <w:rPr>
          <w:rFonts w:ascii="Garamond" w:hAnsi="Garamond"/>
          <w:bCs w:val="0"/>
          <w:color w:val="auto"/>
          <w:kern w:val="0"/>
          <w:sz w:val="22"/>
          <w:szCs w:val="20"/>
        </w:rPr>
        <w:t>varies amongst the Services</w:t>
      </w:r>
      <w:r w:rsidR="006423CE" w:rsidRPr="000A10AD">
        <w:rPr>
          <w:rFonts w:ascii="Garamond" w:hAnsi="Garamond"/>
          <w:bCs w:val="0"/>
          <w:color w:val="auto"/>
          <w:kern w:val="0"/>
          <w:sz w:val="22"/>
          <w:szCs w:val="20"/>
        </w:rPr>
        <w:t xml:space="preserve"> with some Services using</w:t>
      </w:r>
      <w:r w:rsidR="008F2A5D" w:rsidRPr="000A10AD">
        <w:rPr>
          <w:rFonts w:ascii="Garamond" w:hAnsi="Garamond"/>
          <w:bCs w:val="0"/>
          <w:color w:val="auto"/>
          <w:kern w:val="0"/>
          <w:sz w:val="22"/>
          <w:szCs w:val="20"/>
        </w:rPr>
        <w:t xml:space="preserve"> the allowance method and other Services</w:t>
      </w:r>
      <w:r w:rsidR="006423CE" w:rsidRPr="000A10AD">
        <w:rPr>
          <w:rFonts w:ascii="Garamond" w:hAnsi="Garamond"/>
          <w:bCs w:val="0"/>
          <w:color w:val="auto"/>
          <w:kern w:val="0"/>
          <w:sz w:val="22"/>
          <w:szCs w:val="20"/>
        </w:rPr>
        <w:t xml:space="preserve"> using the direct write-off method</w:t>
      </w:r>
      <w:r w:rsidR="002459A1" w:rsidRPr="000A10AD">
        <w:rPr>
          <w:rFonts w:ascii="Garamond" w:hAnsi="Garamond"/>
          <w:bCs w:val="0"/>
          <w:color w:val="auto"/>
          <w:kern w:val="0"/>
          <w:sz w:val="22"/>
          <w:szCs w:val="20"/>
        </w:rPr>
        <w:t>. Both</w:t>
      </w:r>
      <w:r w:rsidR="00F33342" w:rsidRPr="000A10AD">
        <w:rPr>
          <w:rFonts w:ascii="Garamond" w:hAnsi="Garamond"/>
          <w:bCs w:val="0"/>
          <w:color w:val="auto"/>
          <w:kern w:val="0"/>
          <w:sz w:val="22"/>
          <w:szCs w:val="20"/>
        </w:rPr>
        <w:t xml:space="preserve"> the</w:t>
      </w:r>
      <w:r w:rsidR="002459A1" w:rsidRPr="000A10AD">
        <w:rPr>
          <w:rFonts w:ascii="Garamond" w:hAnsi="Garamond"/>
          <w:bCs w:val="0"/>
          <w:color w:val="auto"/>
          <w:kern w:val="0"/>
          <w:sz w:val="22"/>
          <w:szCs w:val="20"/>
        </w:rPr>
        <w:t xml:space="preserve"> </w:t>
      </w:r>
      <w:r w:rsidRPr="000A10AD">
        <w:rPr>
          <w:rFonts w:ascii="Garamond" w:hAnsi="Garamond"/>
          <w:bCs w:val="0"/>
          <w:color w:val="auto"/>
          <w:kern w:val="0"/>
          <w:sz w:val="22"/>
          <w:szCs w:val="20"/>
        </w:rPr>
        <w:t xml:space="preserve">FMR and GAAP require an allowance for doubtful accounts to be created and do not allow for the direct write-off method when expensing bad debt. </w:t>
      </w:r>
    </w:p>
    <w:p w14:paraId="777202BF" w14:textId="77777777" w:rsidR="00207664" w:rsidRDefault="00207664" w:rsidP="00207664">
      <w:pPr>
        <w:pStyle w:val="Heading1"/>
        <w:tabs>
          <w:tab w:val="left" w:pos="6675"/>
        </w:tabs>
        <w:ind w:left="-1710"/>
        <w:rPr>
          <w:rFonts w:ascii="Garamond" w:hAnsi="Garamond"/>
          <w:bCs w:val="0"/>
          <w:color w:val="auto"/>
          <w:kern w:val="0"/>
          <w:sz w:val="24"/>
          <w:szCs w:val="20"/>
        </w:rPr>
      </w:pPr>
    </w:p>
    <w:p w14:paraId="6BE0444F" w14:textId="77777777" w:rsidR="00207664" w:rsidRDefault="00207664" w:rsidP="005B3AE8">
      <w:pPr>
        <w:pStyle w:val="Heading1"/>
        <w:tabs>
          <w:tab w:val="left" w:pos="6675"/>
        </w:tabs>
        <w:ind w:left="-1620"/>
        <w:rPr>
          <w:sz w:val="24"/>
        </w:rPr>
      </w:pPr>
      <w:r>
        <w:rPr>
          <w:sz w:val="24"/>
        </w:rPr>
        <w:t>Research</w:t>
      </w:r>
    </w:p>
    <w:p w14:paraId="1FADC66F" w14:textId="71784830" w:rsidR="00207664" w:rsidRPr="000A10AD" w:rsidRDefault="00207664" w:rsidP="00BC6A0F">
      <w:pPr>
        <w:ind w:left="-810"/>
      </w:pPr>
      <w:r w:rsidRPr="000A10AD">
        <w:t xml:space="preserve">Below outlines the current treatment </w:t>
      </w:r>
      <w:r w:rsidR="00595A3C" w:rsidRPr="000A10AD">
        <w:t xml:space="preserve">on </w:t>
      </w:r>
      <w:r w:rsidRPr="000A10AD">
        <w:t>how each service complies and what the regulations, accounting guidance and industry standards are for this area.</w:t>
      </w:r>
    </w:p>
    <w:tbl>
      <w:tblPr>
        <w:tblStyle w:val="LightGrid"/>
        <w:tblpPr w:leftFromText="180" w:rightFromText="180" w:vertAnchor="text" w:horzAnchor="page" w:tblpXSpec="center" w:tblpY="151"/>
        <w:tblW w:w="14906" w:type="dxa"/>
        <w:jc w:val="center"/>
        <w:tblLayout w:type="fixed"/>
        <w:tblLook w:val="04A0" w:firstRow="1" w:lastRow="0" w:firstColumn="1" w:lastColumn="0" w:noHBand="0" w:noVBand="1"/>
      </w:tblPr>
      <w:tblGrid>
        <w:gridCol w:w="8360"/>
        <w:gridCol w:w="1710"/>
        <w:gridCol w:w="1620"/>
        <w:gridCol w:w="1530"/>
        <w:gridCol w:w="1686"/>
      </w:tblGrid>
      <w:tr w:rsidR="00207664" w:rsidRPr="00655FDE" w14:paraId="3F51E2C1" w14:textId="77777777" w:rsidTr="00B86F95">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000000" w:themeFill="text1"/>
            <w:vAlign w:val="center"/>
          </w:tcPr>
          <w:p w14:paraId="68A243B9" w14:textId="09DE9D8A" w:rsidR="00207664" w:rsidRPr="00B86F95" w:rsidRDefault="00442EEA" w:rsidP="00442EEA">
            <w:pPr>
              <w:jc w:val="center"/>
              <w:rPr>
                <w:szCs w:val="26"/>
              </w:rPr>
            </w:pPr>
            <w:r w:rsidRPr="00B86F95">
              <w:rPr>
                <w:szCs w:val="26"/>
              </w:rPr>
              <w:t>Allowance for Doubtful Accounts</w:t>
            </w:r>
            <w:r w:rsidR="00C67377" w:rsidRPr="00B86F95">
              <w:rPr>
                <w:szCs w:val="26"/>
              </w:rPr>
              <w:t xml:space="preserve"> Policy</w:t>
            </w:r>
          </w:p>
        </w:tc>
        <w:tc>
          <w:tcPr>
            <w:tcW w:w="1710" w:type="dxa"/>
            <w:shd w:val="clear" w:color="auto" w:fill="000000" w:themeFill="text1"/>
            <w:vAlign w:val="center"/>
          </w:tcPr>
          <w:p w14:paraId="340D0146" w14:textId="77777777" w:rsidR="00207664" w:rsidRPr="00B86F95" w:rsidRDefault="00207664" w:rsidP="00BF4937">
            <w:pPr>
              <w:jc w:val="center"/>
              <w:cnfStyle w:val="100000000000" w:firstRow="1" w:lastRow="0" w:firstColumn="0" w:lastColumn="0" w:oddVBand="0" w:evenVBand="0" w:oddHBand="0" w:evenHBand="0" w:firstRowFirstColumn="0" w:firstRowLastColumn="0" w:lastRowFirstColumn="0" w:lastRowLastColumn="0"/>
              <w:rPr>
                <w:szCs w:val="26"/>
              </w:rPr>
            </w:pPr>
            <w:r w:rsidRPr="00B86F95">
              <w:rPr>
                <w:szCs w:val="26"/>
              </w:rPr>
              <w:t>Air Force</w:t>
            </w:r>
          </w:p>
        </w:tc>
        <w:tc>
          <w:tcPr>
            <w:tcW w:w="1620" w:type="dxa"/>
            <w:shd w:val="clear" w:color="auto" w:fill="000000" w:themeFill="text1"/>
            <w:vAlign w:val="center"/>
          </w:tcPr>
          <w:p w14:paraId="71F6B7F0" w14:textId="77777777" w:rsidR="00207664" w:rsidRPr="00B86F95" w:rsidRDefault="00207664" w:rsidP="00BF4937">
            <w:pPr>
              <w:jc w:val="center"/>
              <w:cnfStyle w:val="100000000000" w:firstRow="1" w:lastRow="0" w:firstColumn="0" w:lastColumn="0" w:oddVBand="0" w:evenVBand="0" w:oddHBand="0" w:evenHBand="0" w:firstRowFirstColumn="0" w:firstRowLastColumn="0" w:lastRowFirstColumn="0" w:lastRowLastColumn="0"/>
              <w:rPr>
                <w:szCs w:val="26"/>
              </w:rPr>
            </w:pPr>
            <w:r w:rsidRPr="00B86F95">
              <w:rPr>
                <w:szCs w:val="26"/>
              </w:rPr>
              <w:t>Army</w:t>
            </w:r>
          </w:p>
        </w:tc>
        <w:tc>
          <w:tcPr>
            <w:tcW w:w="1530" w:type="dxa"/>
            <w:shd w:val="clear" w:color="auto" w:fill="000000" w:themeFill="text1"/>
            <w:vAlign w:val="center"/>
          </w:tcPr>
          <w:p w14:paraId="20FB6667" w14:textId="77777777" w:rsidR="00207664" w:rsidRPr="00B86F95" w:rsidRDefault="00207664" w:rsidP="00BF4937">
            <w:pPr>
              <w:jc w:val="center"/>
              <w:cnfStyle w:val="100000000000" w:firstRow="1" w:lastRow="0" w:firstColumn="0" w:lastColumn="0" w:oddVBand="0" w:evenVBand="0" w:oddHBand="0" w:evenHBand="0" w:firstRowFirstColumn="0" w:firstRowLastColumn="0" w:lastRowFirstColumn="0" w:lastRowLastColumn="0"/>
              <w:rPr>
                <w:szCs w:val="26"/>
              </w:rPr>
            </w:pPr>
            <w:r w:rsidRPr="00B86F95">
              <w:rPr>
                <w:szCs w:val="26"/>
              </w:rPr>
              <w:t>Navy</w:t>
            </w:r>
          </w:p>
        </w:tc>
        <w:tc>
          <w:tcPr>
            <w:tcW w:w="1686" w:type="dxa"/>
            <w:shd w:val="clear" w:color="auto" w:fill="000000" w:themeFill="text1"/>
            <w:vAlign w:val="center"/>
          </w:tcPr>
          <w:p w14:paraId="67944CC4" w14:textId="77777777" w:rsidR="00207664" w:rsidRPr="00B86F95" w:rsidRDefault="00207664" w:rsidP="00BF4937">
            <w:pPr>
              <w:jc w:val="center"/>
              <w:cnfStyle w:val="100000000000" w:firstRow="1" w:lastRow="0" w:firstColumn="0" w:lastColumn="0" w:oddVBand="0" w:evenVBand="0" w:oddHBand="0" w:evenHBand="0" w:firstRowFirstColumn="0" w:firstRowLastColumn="0" w:lastRowFirstColumn="0" w:lastRowLastColumn="0"/>
              <w:rPr>
                <w:szCs w:val="26"/>
              </w:rPr>
            </w:pPr>
            <w:r w:rsidRPr="00B86F95">
              <w:rPr>
                <w:szCs w:val="26"/>
              </w:rPr>
              <w:t>Marines</w:t>
            </w:r>
          </w:p>
        </w:tc>
      </w:tr>
      <w:tr w:rsidR="00527903" w:rsidRPr="00655FDE" w14:paraId="34BF6C59" w14:textId="77777777" w:rsidTr="00BB02A7">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C0C0C0"/>
          </w:tcPr>
          <w:p w14:paraId="5678B4D4" w14:textId="3C4E61C4" w:rsidR="00527903" w:rsidRPr="000A10AD" w:rsidRDefault="00C67377" w:rsidP="00FA1B81">
            <w:pPr>
              <w:rPr>
                <w:rFonts w:asciiTheme="minorHAnsi" w:hAnsiTheme="minorHAnsi"/>
                <w:sz w:val="20"/>
                <w:szCs w:val="23"/>
              </w:rPr>
            </w:pPr>
            <w:r w:rsidRPr="000A10AD">
              <w:rPr>
                <w:rFonts w:asciiTheme="minorHAnsi" w:hAnsiTheme="minorHAnsi"/>
                <w:sz w:val="20"/>
                <w:szCs w:val="23"/>
              </w:rPr>
              <w:t>Use of</w:t>
            </w:r>
            <w:r w:rsidR="00BD60B1" w:rsidRPr="000A10AD">
              <w:rPr>
                <w:rFonts w:asciiTheme="minorHAnsi" w:hAnsiTheme="minorHAnsi"/>
                <w:sz w:val="20"/>
                <w:szCs w:val="23"/>
              </w:rPr>
              <w:t xml:space="preserve"> Allowance for Doubtful Accounts</w:t>
            </w:r>
          </w:p>
          <w:p w14:paraId="69E4D0F0" w14:textId="4C3B3A0C" w:rsidR="00527903" w:rsidRPr="000A10AD" w:rsidRDefault="00527903" w:rsidP="00FA1B81">
            <w:pPr>
              <w:rPr>
                <w:rFonts w:asciiTheme="minorHAnsi" w:hAnsiTheme="minorHAnsi"/>
                <w:bCs w:val="0"/>
                <w:sz w:val="20"/>
                <w:szCs w:val="23"/>
              </w:rPr>
            </w:pPr>
          </w:p>
          <w:p w14:paraId="6C5D867F" w14:textId="53E6659E" w:rsidR="00527903" w:rsidRPr="000A10AD" w:rsidRDefault="00527903" w:rsidP="00694C06">
            <w:pPr>
              <w:rPr>
                <w:rFonts w:asciiTheme="minorHAnsi" w:hAnsiTheme="minorHAnsi"/>
                <w:sz w:val="20"/>
                <w:szCs w:val="23"/>
              </w:rPr>
            </w:pPr>
          </w:p>
        </w:tc>
        <w:tc>
          <w:tcPr>
            <w:tcW w:w="1710" w:type="dxa"/>
            <w:shd w:val="clear" w:color="auto" w:fill="C0C0C0"/>
          </w:tcPr>
          <w:p w14:paraId="54796754" w14:textId="0D6BB669" w:rsidR="00527903" w:rsidRPr="000A10AD" w:rsidRDefault="00C67377" w:rsidP="005321CA">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 xml:space="preserve">Use allowance method when necessary </w:t>
            </w:r>
          </w:p>
        </w:tc>
        <w:tc>
          <w:tcPr>
            <w:tcW w:w="1620" w:type="dxa"/>
            <w:shd w:val="clear" w:color="auto" w:fill="C0C0C0"/>
          </w:tcPr>
          <w:p w14:paraId="4116AA8E" w14:textId="2609839B" w:rsidR="00527903" w:rsidRPr="000A10AD" w:rsidRDefault="00C67377"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Choice of direct write-off or allowance method</w:t>
            </w:r>
          </w:p>
        </w:tc>
        <w:tc>
          <w:tcPr>
            <w:tcW w:w="1530" w:type="dxa"/>
            <w:shd w:val="clear" w:color="auto" w:fill="C0C0C0"/>
          </w:tcPr>
          <w:p w14:paraId="26E92243" w14:textId="04C0BDB8" w:rsidR="00527903" w:rsidRPr="000A10AD" w:rsidRDefault="00C67377"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Direct write-off method</w:t>
            </w:r>
          </w:p>
        </w:tc>
        <w:tc>
          <w:tcPr>
            <w:tcW w:w="1686" w:type="dxa"/>
            <w:shd w:val="clear" w:color="auto" w:fill="C0C0C0"/>
          </w:tcPr>
          <w:p w14:paraId="6C4F0A4A" w14:textId="35CBB83F" w:rsidR="00527903" w:rsidRPr="000A10AD" w:rsidRDefault="001B735E" w:rsidP="001B735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Use allowance method only</w:t>
            </w:r>
            <w:r w:rsidR="00C67377" w:rsidRPr="000A10AD">
              <w:rPr>
                <w:rFonts w:asciiTheme="minorHAnsi" w:hAnsiTheme="minorHAnsi"/>
                <w:sz w:val="20"/>
                <w:szCs w:val="23"/>
              </w:rPr>
              <w:t xml:space="preserve"> for Military Star Card</w:t>
            </w:r>
          </w:p>
        </w:tc>
      </w:tr>
      <w:tr w:rsidR="00587A87" w:rsidRPr="00655FDE" w14:paraId="15FE1898" w14:textId="77777777" w:rsidTr="00BB02A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FFFFFF" w:themeFill="background1"/>
          </w:tcPr>
          <w:p w14:paraId="2EAC637B" w14:textId="4BCEE8D8" w:rsidR="00587A87" w:rsidRPr="000A10AD" w:rsidRDefault="00BB02A7" w:rsidP="005321CA">
            <w:pPr>
              <w:autoSpaceDE w:val="0"/>
              <w:autoSpaceDN w:val="0"/>
              <w:adjustRightInd w:val="0"/>
              <w:rPr>
                <w:rFonts w:asciiTheme="minorHAnsi" w:hAnsiTheme="minorHAnsi"/>
                <w:b w:val="0"/>
                <w:color w:val="FF0000"/>
                <w:sz w:val="20"/>
                <w:szCs w:val="23"/>
              </w:rPr>
            </w:pPr>
            <w:r w:rsidRPr="000A10AD">
              <w:rPr>
                <w:rFonts w:asciiTheme="minorHAnsi" w:hAnsiTheme="minorHAnsi"/>
                <w:sz w:val="20"/>
                <w:szCs w:val="23"/>
              </w:rPr>
              <w:t>DoDI 1015.15</w:t>
            </w:r>
            <w:r w:rsidR="00287119" w:rsidRPr="000A10AD">
              <w:rPr>
                <w:rFonts w:asciiTheme="minorHAnsi" w:hAnsiTheme="minorHAnsi"/>
                <w:sz w:val="20"/>
                <w:szCs w:val="23"/>
              </w:rPr>
              <w:t xml:space="preserve">. </w:t>
            </w:r>
            <w:r w:rsidR="00287119" w:rsidRPr="000A10AD">
              <w:rPr>
                <w:rFonts w:asciiTheme="minorHAnsi" w:hAnsiTheme="minorHAnsi"/>
                <w:b w:val="0"/>
                <w:sz w:val="20"/>
                <w:szCs w:val="23"/>
              </w:rPr>
              <w:t>Silent on Treatment.</w:t>
            </w:r>
          </w:p>
        </w:tc>
        <w:tc>
          <w:tcPr>
            <w:tcW w:w="1710" w:type="dxa"/>
            <w:shd w:val="clear" w:color="auto" w:fill="FFFFFF" w:themeFill="background1"/>
          </w:tcPr>
          <w:p w14:paraId="267134A9" w14:textId="31423087" w:rsidR="00587A87" w:rsidRPr="000A10AD" w:rsidRDefault="0072079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N/A</w:t>
            </w:r>
          </w:p>
        </w:tc>
        <w:tc>
          <w:tcPr>
            <w:tcW w:w="1620" w:type="dxa"/>
            <w:shd w:val="clear" w:color="auto" w:fill="FFFFFF" w:themeFill="background1"/>
          </w:tcPr>
          <w:p w14:paraId="5FFDFC1A" w14:textId="04AC97C7" w:rsidR="00587A87" w:rsidRPr="000A10AD" w:rsidRDefault="0072079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N/A</w:t>
            </w:r>
          </w:p>
        </w:tc>
        <w:tc>
          <w:tcPr>
            <w:tcW w:w="1530" w:type="dxa"/>
            <w:shd w:val="clear" w:color="auto" w:fill="FFFFFF" w:themeFill="background1"/>
          </w:tcPr>
          <w:p w14:paraId="2DBD60F1" w14:textId="3038969A" w:rsidR="00587A87" w:rsidRPr="000A10AD" w:rsidRDefault="0072079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N/A</w:t>
            </w:r>
          </w:p>
        </w:tc>
        <w:tc>
          <w:tcPr>
            <w:tcW w:w="1686" w:type="dxa"/>
            <w:shd w:val="clear" w:color="auto" w:fill="FFFFFF" w:themeFill="background1"/>
          </w:tcPr>
          <w:p w14:paraId="553CBBD1" w14:textId="0B9BC48A" w:rsidR="00587A87" w:rsidRPr="000A10AD" w:rsidRDefault="0072079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N/A</w:t>
            </w:r>
          </w:p>
        </w:tc>
      </w:tr>
      <w:tr w:rsidR="00527903" w:rsidRPr="00655FDE" w14:paraId="65911FF3" w14:textId="77777777" w:rsidTr="00BB02A7">
        <w:trPr>
          <w:cnfStyle w:val="000000100000" w:firstRow="0" w:lastRow="0" w:firstColumn="0" w:lastColumn="0" w:oddVBand="0" w:evenVBand="0" w:oddHBand="1" w:evenHBand="0" w:firstRowFirstColumn="0" w:firstRowLastColumn="0" w:lastRowFirstColumn="0" w:lastRowLastColumn="0"/>
          <w:trHeight w:val="1154"/>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C0C0C0"/>
          </w:tcPr>
          <w:p w14:paraId="28F3CB8D" w14:textId="094A32D7" w:rsidR="00527903" w:rsidRPr="000A10AD" w:rsidRDefault="007C128E" w:rsidP="0004227C">
            <w:pPr>
              <w:rPr>
                <w:b w:val="0"/>
                <w:bCs w:val="0"/>
                <w:sz w:val="20"/>
              </w:rPr>
            </w:pPr>
            <w:r>
              <w:rPr>
                <w:rFonts w:asciiTheme="minorHAnsi" w:hAnsiTheme="minorHAnsi"/>
                <w:bCs w:val="0"/>
                <w:sz w:val="20"/>
                <w:szCs w:val="23"/>
              </w:rPr>
              <w:t xml:space="preserve">FMR Volume 13, Chapter 3. </w:t>
            </w:r>
            <w:r w:rsidRPr="006F151C">
              <w:rPr>
                <w:rFonts w:asciiTheme="minorHAnsi" w:hAnsiTheme="minorHAnsi"/>
                <w:bCs w:val="0"/>
                <w:sz w:val="20"/>
                <w:szCs w:val="23"/>
              </w:rPr>
              <w:t xml:space="preserve">030303. </w:t>
            </w:r>
            <w:r w:rsidRPr="006F151C">
              <w:rPr>
                <w:rFonts w:asciiTheme="minorHAnsi" w:hAnsiTheme="minorHAnsi"/>
                <w:sz w:val="20"/>
                <w:szCs w:val="23"/>
              </w:rPr>
              <w:t>C</w:t>
            </w:r>
            <w:r w:rsidR="00527903" w:rsidRPr="006F151C">
              <w:rPr>
                <w:rFonts w:asciiTheme="minorHAnsi" w:hAnsiTheme="minorHAnsi"/>
                <w:sz w:val="20"/>
                <w:szCs w:val="23"/>
              </w:rPr>
              <w:t>.</w:t>
            </w:r>
            <w:r w:rsidR="00527903" w:rsidRPr="000A10AD">
              <w:rPr>
                <w:rFonts w:asciiTheme="minorHAnsi" w:hAnsiTheme="minorHAnsi"/>
                <w:bCs w:val="0"/>
                <w:sz w:val="20"/>
                <w:szCs w:val="23"/>
              </w:rPr>
              <w:t xml:space="preserve"> </w:t>
            </w:r>
            <w:r w:rsidR="0004227C" w:rsidRPr="000A10AD">
              <w:rPr>
                <w:rFonts w:asciiTheme="minorHAnsi" w:hAnsiTheme="minorHAnsi"/>
                <w:bCs w:val="0"/>
                <w:sz w:val="20"/>
                <w:szCs w:val="23"/>
              </w:rPr>
              <w:t>Allowance for Doubtful Accounts:</w:t>
            </w:r>
            <w:r w:rsidR="00FE2555" w:rsidRPr="000A10AD">
              <w:rPr>
                <w:rFonts w:asciiTheme="minorHAnsi" w:hAnsiTheme="minorHAnsi"/>
                <w:bCs w:val="0"/>
                <w:sz w:val="20"/>
                <w:szCs w:val="23"/>
              </w:rPr>
              <w:t xml:space="preserve"> </w:t>
            </w:r>
            <w:r w:rsidR="00FE2555" w:rsidRPr="000A10AD">
              <w:rPr>
                <w:sz w:val="20"/>
              </w:rPr>
              <w:t xml:space="preserve"> </w:t>
            </w:r>
            <w:r w:rsidR="00FE2555" w:rsidRPr="000A10AD">
              <w:rPr>
                <w:b w:val="0"/>
                <w:sz w:val="20"/>
              </w:rPr>
              <w:t>“</w:t>
            </w:r>
            <w:r w:rsidR="00FE2555" w:rsidRPr="000A10AD">
              <w:rPr>
                <w:rFonts w:asciiTheme="minorHAnsi" w:hAnsiTheme="minorHAnsi"/>
                <w:b w:val="0"/>
                <w:bCs w:val="0"/>
                <w:sz w:val="20"/>
                <w:szCs w:val="23"/>
              </w:rPr>
              <w:t>When using the allowance method for bad debts, NAFIs must determine and record the amount of accounts receivable estimated to be uncollectible at the end of each reporting period. The amount to record as estimated is based on a review of the average write-offs of accounts receivable, which is based on historical data</w:t>
            </w:r>
            <w:r>
              <w:rPr>
                <w:rFonts w:asciiTheme="minorHAnsi" w:hAnsiTheme="minorHAnsi"/>
                <w:b w:val="0"/>
                <w:bCs w:val="0"/>
                <w:sz w:val="20"/>
                <w:szCs w:val="23"/>
              </w:rPr>
              <w:t xml:space="preserve"> (maintain documentation supporting the calculation and associated adjustment for audit purposes)</w:t>
            </w:r>
            <w:r w:rsidR="00FE2555" w:rsidRPr="000A10AD">
              <w:rPr>
                <w:rFonts w:asciiTheme="minorHAnsi" w:hAnsiTheme="minorHAnsi"/>
                <w:b w:val="0"/>
                <w:bCs w:val="0"/>
                <w:sz w:val="20"/>
                <w:szCs w:val="23"/>
              </w:rPr>
              <w:t>. Adjust the allowance for doubtful accounts to cover those accounts expected to become uncollectible during the next reporting period.”</w:t>
            </w:r>
            <w:r w:rsidR="00527903" w:rsidRPr="000A10AD">
              <w:rPr>
                <w:rFonts w:asciiTheme="minorHAnsi" w:hAnsiTheme="minorHAnsi"/>
                <w:sz w:val="20"/>
                <w:szCs w:val="23"/>
              </w:rPr>
              <w:t xml:space="preserve"> </w:t>
            </w:r>
          </w:p>
        </w:tc>
        <w:tc>
          <w:tcPr>
            <w:tcW w:w="1710" w:type="dxa"/>
            <w:shd w:val="clear" w:color="auto" w:fill="C0C0C0"/>
          </w:tcPr>
          <w:p w14:paraId="2BD49F04" w14:textId="73730B92" w:rsidR="00527903" w:rsidRPr="000A10AD" w:rsidRDefault="00A41370" w:rsidP="00BF4937">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 w:val="20"/>
                <w:szCs w:val="23"/>
              </w:rPr>
            </w:pPr>
            <w:r w:rsidRPr="000A10AD">
              <w:rPr>
                <w:rFonts w:asciiTheme="minorHAnsi" w:hAnsiTheme="minorHAnsi"/>
                <w:sz w:val="20"/>
                <w:szCs w:val="23"/>
              </w:rPr>
              <w:t>Follows current guidance</w:t>
            </w:r>
          </w:p>
        </w:tc>
        <w:tc>
          <w:tcPr>
            <w:tcW w:w="1620" w:type="dxa"/>
            <w:shd w:val="clear" w:color="auto" w:fill="C0C0C0"/>
          </w:tcPr>
          <w:p w14:paraId="16E52F2D" w14:textId="1CBF129D" w:rsidR="00527903" w:rsidRPr="000A10AD" w:rsidRDefault="00A41370" w:rsidP="005321CA">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 w:val="20"/>
                <w:szCs w:val="23"/>
              </w:rPr>
            </w:pPr>
            <w:r w:rsidRPr="000A10AD">
              <w:rPr>
                <w:rFonts w:asciiTheme="minorHAnsi" w:hAnsiTheme="minorHAnsi"/>
                <w:sz w:val="20"/>
                <w:szCs w:val="23"/>
              </w:rPr>
              <w:t>Follows alternative guidance</w:t>
            </w:r>
          </w:p>
        </w:tc>
        <w:tc>
          <w:tcPr>
            <w:tcW w:w="1530" w:type="dxa"/>
            <w:shd w:val="clear" w:color="auto" w:fill="C0C0C0"/>
          </w:tcPr>
          <w:p w14:paraId="0D6844DC" w14:textId="4F09E711" w:rsidR="00527903" w:rsidRPr="000A10AD" w:rsidRDefault="00A41370" w:rsidP="005321CA">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3"/>
              </w:rPr>
            </w:pPr>
            <w:r w:rsidRPr="000A10AD">
              <w:rPr>
                <w:rFonts w:asciiTheme="minorHAnsi" w:hAnsiTheme="minorHAnsi"/>
                <w:sz w:val="20"/>
                <w:szCs w:val="23"/>
              </w:rPr>
              <w:t>Follows alternative guidance</w:t>
            </w:r>
          </w:p>
        </w:tc>
        <w:tc>
          <w:tcPr>
            <w:tcW w:w="1686" w:type="dxa"/>
            <w:shd w:val="clear" w:color="auto" w:fill="C0C0C0"/>
          </w:tcPr>
          <w:p w14:paraId="3B1E33F1" w14:textId="4D2C0A00" w:rsidR="00415486" w:rsidRPr="000A10AD" w:rsidRDefault="00A41370"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Follows alternative guidance</w:t>
            </w:r>
          </w:p>
          <w:p w14:paraId="6505B250" w14:textId="77777777" w:rsidR="00527903" w:rsidRPr="000A10AD" w:rsidRDefault="00527903"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3"/>
              </w:rPr>
            </w:pPr>
          </w:p>
          <w:p w14:paraId="43D81C4C" w14:textId="77777777" w:rsidR="00527903" w:rsidRPr="000A10AD" w:rsidRDefault="00527903"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 w:val="20"/>
                <w:szCs w:val="23"/>
              </w:rPr>
            </w:pPr>
          </w:p>
          <w:p w14:paraId="15B54127" w14:textId="41D78F23" w:rsidR="00527903" w:rsidRPr="000A10AD" w:rsidRDefault="00527903"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 w:val="20"/>
                <w:szCs w:val="23"/>
              </w:rPr>
            </w:pPr>
          </w:p>
        </w:tc>
      </w:tr>
      <w:tr w:rsidR="00E33500" w:rsidRPr="00655FDE" w14:paraId="250F7CC1" w14:textId="77777777" w:rsidTr="00BB02A7">
        <w:trPr>
          <w:cnfStyle w:val="000000010000" w:firstRow="0" w:lastRow="0" w:firstColumn="0" w:lastColumn="0" w:oddVBand="0" w:evenVBand="0" w:oddHBand="0" w:evenHBand="1" w:firstRowFirstColumn="0" w:firstRowLastColumn="0" w:lastRowFirstColumn="0" w:lastRowLastColumn="0"/>
          <w:trHeight w:val="1133"/>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auto"/>
          </w:tcPr>
          <w:p w14:paraId="1EE42FB5" w14:textId="1767FA81" w:rsidR="00E33500" w:rsidRPr="000A10AD" w:rsidRDefault="00185E5D" w:rsidP="00E33500">
            <w:pPr>
              <w:rPr>
                <w:rFonts w:asciiTheme="minorHAnsi" w:hAnsiTheme="minorHAnsi"/>
                <w:b w:val="0"/>
                <w:bCs w:val="0"/>
                <w:sz w:val="20"/>
                <w:szCs w:val="23"/>
              </w:rPr>
            </w:pPr>
            <w:r w:rsidRPr="000A10AD">
              <w:rPr>
                <w:rFonts w:asciiTheme="minorHAnsi" w:hAnsiTheme="minorHAnsi"/>
                <w:bCs w:val="0"/>
                <w:sz w:val="20"/>
                <w:szCs w:val="23"/>
              </w:rPr>
              <w:t>GAAP: ASC 310-10-35-8&amp;</w:t>
            </w:r>
            <w:r w:rsidR="00E33500" w:rsidRPr="000A10AD">
              <w:rPr>
                <w:rFonts w:asciiTheme="minorHAnsi" w:hAnsiTheme="minorHAnsi"/>
                <w:bCs w:val="0"/>
                <w:sz w:val="20"/>
                <w:szCs w:val="23"/>
              </w:rPr>
              <w:t xml:space="preserve">9: </w:t>
            </w:r>
            <w:r w:rsidR="00E33500" w:rsidRPr="000A10AD">
              <w:rPr>
                <w:sz w:val="20"/>
                <w:szCs w:val="19"/>
              </w:rPr>
              <w:t>“</w:t>
            </w:r>
            <w:r w:rsidR="00E33500" w:rsidRPr="000A10AD">
              <w:rPr>
                <w:rFonts w:asciiTheme="minorHAnsi" w:hAnsiTheme="minorHAnsi"/>
                <w:b w:val="0"/>
                <w:bCs w:val="0"/>
                <w:sz w:val="20"/>
                <w:szCs w:val="23"/>
              </w:rPr>
              <w:t>Subtopic 450-20: requires recognition of a loss when both of the following conditions are met:   a. Information available before the financial statements are issued or are available to be issued (as discussed in Section 855-10-25 : ) indicates that it is probable that an asset has been impaired at the date of the financial statements. b. The amount of the loss can be reasonably estimated. Losses from uncollectible receivables shall be accrued when both of the preceding conditions are met. Those conditions may be considered in relation to individual receivables or in relation to groups of similar types of receivables. If the conditions are met, accrual shall be made even though the particular receivables that are uncollectible may not be identifiable.”</w:t>
            </w:r>
          </w:p>
          <w:p w14:paraId="54024C1B" w14:textId="7A4A9FB8" w:rsidR="00E33500" w:rsidRPr="000A10AD" w:rsidRDefault="00E33500" w:rsidP="00E33500">
            <w:pPr>
              <w:pStyle w:val="NormalWeb"/>
              <w:textAlignment w:val="top"/>
              <w:rPr>
                <w:rFonts w:asciiTheme="minorHAnsi" w:hAnsiTheme="minorHAnsi" w:cs="Tahoma"/>
                <w:color w:val="000000"/>
                <w:sz w:val="20"/>
                <w:szCs w:val="23"/>
              </w:rPr>
            </w:pPr>
          </w:p>
        </w:tc>
        <w:tc>
          <w:tcPr>
            <w:tcW w:w="1710" w:type="dxa"/>
            <w:shd w:val="clear" w:color="auto" w:fill="auto"/>
          </w:tcPr>
          <w:p w14:paraId="772E974D" w14:textId="268E00F6" w:rsidR="00E33500" w:rsidRPr="000A10AD" w:rsidRDefault="00E33500" w:rsidP="00E3350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3"/>
              </w:rPr>
            </w:pPr>
            <w:r w:rsidRPr="000A10AD">
              <w:rPr>
                <w:rFonts w:asciiTheme="minorHAnsi" w:hAnsiTheme="minorHAnsi"/>
                <w:sz w:val="20"/>
                <w:szCs w:val="23"/>
              </w:rPr>
              <w:t>Follows current guidance</w:t>
            </w:r>
            <w:r w:rsidRPr="000A10AD">
              <w:rPr>
                <w:rFonts w:asciiTheme="minorHAnsi" w:hAnsiTheme="minorHAnsi"/>
                <w:color w:val="FF0000"/>
                <w:sz w:val="20"/>
                <w:szCs w:val="23"/>
              </w:rPr>
              <w:t xml:space="preserve"> </w:t>
            </w:r>
          </w:p>
        </w:tc>
        <w:tc>
          <w:tcPr>
            <w:tcW w:w="1620" w:type="dxa"/>
            <w:shd w:val="clear" w:color="auto" w:fill="auto"/>
          </w:tcPr>
          <w:p w14:paraId="516F499A" w14:textId="5514EC4A" w:rsidR="00E33500" w:rsidRPr="000A10AD" w:rsidRDefault="00E33500" w:rsidP="00E3350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3"/>
              </w:rPr>
            </w:pPr>
            <w:r w:rsidRPr="000A10AD">
              <w:rPr>
                <w:rFonts w:asciiTheme="minorHAnsi" w:hAnsiTheme="minorHAnsi"/>
                <w:sz w:val="20"/>
                <w:szCs w:val="23"/>
              </w:rPr>
              <w:t>Follows alternative guidance</w:t>
            </w:r>
          </w:p>
        </w:tc>
        <w:tc>
          <w:tcPr>
            <w:tcW w:w="1530" w:type="dxa"/>
            <w:shd w:val="clear" w:color="auto" w:fill="auto"/>
          </w:tcPr>
          <w:p w14:paraId="356770B0" w14:textId="1EB9B39E" w:rsidR="00E33500" w:rsidRPr="000A10AD" w:rsidRDefault="00E33500" w:rsidP="00E3350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3"/>
              </w:rPr>
            </w:pPr>
            <w:r w:rsidRPr="000A10AD">
              <w:rPr>
                <w:rFonts w:asciiTheme="minorHAnsi" w:hAnsiTheme="minorHAnsi"/>
                <w:sz w:val="20"/>
                <w:szCs w:val="23"/>
              </w:rPr>
              <w:t>Follows alternative guidance</w:t>
            </w:r>
          </w:p>
        </w:tc>
        <w:tc>
          <w:tcPr>
            <w:tcW w:w="1686" w:type="dxa"/>
            <w:shd w:val="clear" w:color="auto" w:fill="auto"/>
          </w:tcPr>
          <w:p w14:paraId="4682775D" w14:textId="77777777" w:rsidR="00E33500" w:rsidRPr="000A10AD" w:rsidRDefault="00E33500" w:rsidP="00E3350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Follows alternative guidance</w:t>
            </w:r>
          </w:p>
          <w:p w14:paraId="5C5ADE50" w14:textId="5C628665" w:rsidR="00E33500" w:rsidRPr="000A10AD" w:rsidRDefault="00E33500" w:rsidP="00E3350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3"/>
              </w:rPr>
            </w:pPr>
          </w:p>
        </w:tc>
      </w:tr>
      <w:tr w:rsidR="002106C0" w:rsidRPr="00655FDE" w14:paraId="61AB6A7E" w14:textId="77777777" w:rsidTr="00BB02A7">
        <w:trPr>
          <w:cnfStyle w:val="000000100000" w:firstRow="0" w:lastRow="0" w:firstColumn="0" w:lastColumn="0" w:oddVBand="0" w:evenVBand="0" w:oddHBand="1" w:evenHBand="0" w:firstRowFirstColumn="0" w:firstRowLastColumn="0" w:lastRowFirstColumn="0" w:lastRowLastColumn="0"/>
          <w:trHeight w:val="700"/>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C0C0C0"/>
          </w:tcPr>
          <w:p w14:paraId="5E31BBD9" w14:textId="6E36E3A6" w:rsidR="002106C0" w:rsidRPr="000A10AD" w:rsidRDefault="002106C0" w:rsidP="002106C0">
            <w:pPr>
              <w:autoSpaceDE w:val="0"/>
              <w:autoSpaceDN w:val="0"/>
              <w:adjustRightInd w:val="0"/>
              <w:rPr>
                <w:rFonts w:asciiTheme="minorHAnsi" w:hAnsiTheme="minorHAnsi"/>
                <w:color w:val="000000" w:themeColor="text1"/>
                <w:sz w:val="20"/>
                <w:szCs w:val="23"/>
              </w:rPr>
            </w:pPr>
            <w:r w:rsidRPr="000A10AD">
              <w:rPr>
                <w:rFonts w:asciiTheme="minorHAnsi" w:hAnsiTheme="minorHAnsi"/>
                <w:color w:val="000000" w:themeColor="text1"/>
                <w:sz w:val="20"/>
                <w:szCs w:val="23"/>
              </w:rPr>
              <w:t>FASAB Handbook SFFAS 7 paragraphs 39-40:</w:t>
            </w:r>
            <w:r w:rsidRPr="000A10AD">
              <w:rPr>
                <w:sz w:val="20"/>
              </w:rPr>
              <w:t xml:space="preserve"> </w:t>
            </w:r>
            <w:r w:rsidRPr="000A10AD">
              <w:rPr>
                <w:rFonts w:asciiTheme="minorHAnsi" w:hAnsiTheme="minorHAnsi"/>
                <w:b w:val="0"/>
                <w:color w:val="000000" w:themeColor="text1"/>
                <w:sz w:val="20"/>
                <w:szCs w:val="23"/>
              </w:rPr>
              <w:t>39. When cash has not yet been received at the time revenue is recognized, a receivable should be recorded. An appropriate allowance for estimated bad debts should be established. 40. To the extent that realization of the full amount of revenue is not probable due to credit losses (caused by the failure of the debtor to pay the established or negotiated price), an expense should be recognized and the allowance for bad debts increased if the bad debts can be reasonably estimated. The amount of the bad debt expense should be separately shown.</w:t>
            </w:r>
          </w:p>
        </w:tc>
        <w:tc>
          <w:tcPr>
            <w:tcW w:w="1710" w:type="dxa"/>
            <w:shd w:val="clear" w:color="auto" w:fill="C0C0C0"/>
          </w:tcPr>
          <w:p w14:paraId="35005577" w14:textId="0BC5FA01" w:rsidR="002106C0" w:rsidRPr="000A10AD" w:rsidRDefault="002106C0" w:rsidP="002106C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N/A</w:t>
            </w:r>
            <w:r w:rsidRPr="000A10AD">
              <w:rPr>
                <w:rFonts w:asciiTheme="minorHAnsi" w:hAnsiTheme="minorHAnsi"/>
                <w:color w:val="FF0000"/>
                <w:sz w:val="20"/>
                <w:szCs w:val="23"/>
              </w:rPr>
              <w:t xml:space="preserve"> </w:t>
            </w:r>
          </w:p>
        </w:tc>
        <w:tc>
          <w:tcPr>
            <w:tcW w:w="1620" w:type="dxa"/>
            <w:shd w:val="clear" w:color="auto" w:fill="C0C0C0"/>
          </w:tcPr>
          <w:p w14:paraId="68DB83B4" w14:textId="2C9C804E" w:rsidR="002106C0" w:rsidRPr="000A10AD" w:rsidRDefault="002106C0" w:rsidP="002106C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N/A</w:t>
            </w:r>
            <w:r w:rsidRPr="000A10AD">
              <w:rPr>
                <w:rFonts w:asciiTheme="minorHAnsi" w:hAnsiTheme="minorHAnsi"/>
                <w:color w:val="FF0000"/>
                <w:sz w:val="20"/>
                <w:szCs w:val="23"/>
              </w:rPr>
              <w:t xml:space="preserve"> </w:t>
            </w:r>
          </w:p>
        </w:tc>
        <w:tc>
          <w:tcPr>
            <w:tcW w:w="1530" w:type="dxa"/>
            <w:shd w:val="clear" w:color="auto" w:fill="C0C0C0"/>
          </w:tcPr>
          <w:p w14:paraId="4858898D" w14:textId="25DAC00E" w:rsidR="002106C0" w:rsidRPr="000A10AD" w:rsidRDefault="002106C0" w:rsidP="002106C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N/A</w:t>
            </w:r>
            <w:r w:rsidRPr="000A10AD">
              <w:rPr>
                <w:rFonts w:asciiTheme="minorHAnsi" w:hAnsiTheme="minorHAnsi"/>
                <w:color w:val="FF0000"/>
                <w:sz w:val="20"/>
                <w:szCs w:val="23"/>
              </w:rPr>
              <w:t xml:space="preserve"> </w:t>
            </w:r>
          </w:p>
        </w:tc>
        <w:tc>
          <w:tcPr>
            <w:tcW w:w="1686" w:type="dxa"/>
            <w:shd w:val="clear" w:color="auto" w:fill="C0C0C0"/>
          </w:tcPr>
          <w:p w14:paraId="07A1B50D" w14:textId="54068E8C" w:rsidR="002106C0" w:rsidRPr="000A10AD" w:rsidRDefault="002106C0" w:rsidP="002106C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N/A</w:t>
            </w:r>
            <w:r w:rsidRPr="000A10AD">
              <w:rPr>
                <w:rFonts w:asciiTheme="minorHAnsi" w:hAnsiTheme="minorHAnsi"/>
                <w:color w:val="FF0000"/>
                <w:sz w:val="20"/>
                <w:szCs w:val="23"/>
              </w:rPr>
              <w:t xml:space="preserve"> </w:t>
            </w:r>
          </w:p>
        </w:tc>
      </w:tr>
      <w:tr w:rsidR="004A1389" w:rsidRPr="00655FDE" w14:paraId="65EC0B51" w14:textId="77777777" w:rsidTr="00BB02A7">
        <w:trPr>
          <w:cnfStyle w:val="000000010000" w:firstRow="0" w:lastRow="0" w:firstColumn="0" w:lastColumn="0" w:oddVBand="0" w:evenVBand="0" w:oddHBand="0" w:evenHBand="1"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auto"/>
          </w:tcPr>
          <w:p w14:paraId="08215B83" w14:textId="5AC330CF" w:rsidR="004A1389" w:rsidRPr="000A10AD" w:rsidRDefault="004A1389" w:rsidP="00A93CB7">
            <w:pPr>
              <w:rPr>
                <w:rFonts w:asciiTheme="minorHAnsi" w:hAnsiTheme="minorHAnsi"/>
                <w:color w:val="000000" w:themeColor="text1"/>
                <w:sz w:val="20"/>
                <w:szCs w:val="23"/>
              </w:rPr>
            </w:pPr>
            <w:r w:rsidRPr="000A10AD">
              <w:rPr>
                <w:rFonts w:asciiTheme="minorHAnsi" w:hAnsiTheme="minorHAnsi"/>
                <w:color w:val="000000" w:themeColor="text1"/>
                <w:sz w:val="20"/>
                <w:szCs w:val="23"/>
              </w:rPr>
              <w:lastRenderedPageBreak/>
              <w:t xml:space="preserve">Industry Practice:  </w:t>
            </w:r>
            <w:r w:rsidRPr="000A10AD">
              <w:rPr>
                <w:rFonts w:asciiTheme="minorHAnsi" w:hAnsiTheme="minorHAnsi"/>
                <w:b w:val="0"/>
                <w:color w:val="000000" w:themeColor="text1"/>
                <w:sz w:val="20"/>
                <w:szCs w:val="23"/>
              </w:rPr>
              <w:t>Industry practice</w:t>
            </w:r>
            <w:r w:rsidR="005015D9" w:rsidRPr="000A10AD">
              <w:rPr>
                <w:rFonts w:asciiTheme="minorHAnsi" w:hAnsiTheme="minorHAnsi"/>
                <w:b w:val="0"/>
                <w:color w:val="000000" w:themeColor="text1"/>
                <w:sz w:val="20"/>
                <w:szCs w:val="23"/>
              </w:rPr>
              <w:t xml:space="preserve"> for </w:t>
            </w:r>
            <w:r w:rsidR="00A93CB7" w:rsidRPr="000A10AD">
              <w:rPr>
                <w:rFonts w:asciiTheme="minorHAnsi" w:hAnsiTheme="minorHAnsi"/>
                <w:b w:val="0"/>
                <w:color w:val="000000" w:themeColor="text1"/>
                <w:sz w:val="20"/>
                <w:szCs w:val="23"/>
              </w:rPr>
              <w:t>private</w:t>
            </w:r>
            <w:r w:rsidR="005015D9" w:rsidRPr="000A10AD">
              <w:rPr>
                <w:rFonts w:asciiTheme="minorHAnsi" w:hAnsiTheme="minorHAnsi"/>
                <w:b w:val="0"/>
                <w:color w:val="000000" w:themeColor="text1"/>
                <w:sz w:val="20"/>
                <w:szCs w:val="23"/>
              </w:rPr>
              <w:t xml:space="preserve"> companies</w:t>
            </w:r>
            <w:r w:rsidRPr="000A10AD">
              <w:rPr>
                <w:rFonts w:asciiTheme="minorHAnsi" w:hAnsiTheme="minorHAnsi"/>
                <w:b w:val="0"/>
                <w:color w:val="000000" w:themeColor="text1"/>
                <w:sz w:val="20"/>
                <w:szCs w:val="23"/>
              </w:rPr>
              <w:t xml:space="preserve"> is to use the allowance method when bad debt expense is material. Otherwise, the direct write-off method is used.</w:t>
            </w:r>
          </w:p>
        </w:tc>
        <w:tc>
          <w:tcPr>
            <w:tcW w:w="1710" w:type="dxa"/>
            <w:shd w:val="clear" w:color="auto" w:fill="auto"/>
          </w:tcPr>
          <w:p w14:paraId="02C06E1C" w14:textId="199714E1" w:rsidR="004A1389" w:rsidRPr="000A10AD" w:rsidRDefault="004A1389" w:rsidP="004A138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Follows current guidance</w:t>
            </w:r>
          </w:p>
        </w:tc>
        <w:tc>
          <w:tcPr>
            <w:tcW w:w="1620" w:type="dxa"/>
            <w:shd w:val="clear" w:color="auto" w:fill="auto"/>
          </w:tcPr>
          <w:p w14:paraId="2B4CE085" w14:textId="7CB27BAF" w:rsidR="004A1389" w:rsidRPr="000A10AD" w:rsidRDefault="004A1389" w:rsidP="004A138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Follows current guidance</w:t>
            </w:r>
            <w:r w:rsidRPr="000A10AD">
              <w:rPr>
                <w:rFonts w:asciiTheme="minorHAnsi" w:hAnsiTheme="minorHAnsi"/>
                <w:color w:val="FF0000"/>
                <w:sz w:val="20"/>
                <w:szCs w:val="23"/>
              </w:rPr>
              <w:t xml:space="preserve"> </w:t>
            </w:r>
          </w:p>
        </w:tc>
        <w:tc>
          <w:tcPr>
            <w:tcW w:w="1530" w:type="dxa"/>
            <w:shd w:val="clear" w:color="auto" w:fill="auto"/>
          </w:tcPr>
          <w:p w14:paraId="3F4E1893" w14:textId="663FD12C" w:rsidR="004A1389" w:rsidRPr="000A10AD" w:rsidRDefault="004A1389" w:rsidP="004A138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Follows current guidance</w:t>
            </w:r>
            <w:r w:rsidRPr="000A10AD">
              <w:rPr>
                <w:rFonts w:asciiTheme="minorHAnsi" w:hAnsiTheme="minorHAnsi"/>
                <w:color w:val="FF0000"/>
                <w:sz w:val="20"/>
                <w:szCs w:val="23"/>
              </w:rPr>
              <w:t xml:space="preserve"> </w:t>
            </w:r>
          </w:p>
        </w:tc>
        <w:tc>
          <w:tcPr>
            <w:tcW w:w="1686" w:type="dxa"/>
            <w:shd w:val="clear" w:color="auto" w:fill="auto"/>
          </w:tcPr>
          <w:p w14:paraId="32118A1B" w14:textId="394874B4" w:rsidR="004A1389" w:rsidRPr="000A10AD" w:rsidRDefault="004A1389" w:rsidP="004A1389">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3"/>
              </w:rPr>
            </w:pPr>
            <w:r w:rsidRPr="000A10AD">
              <w:rPr>
                <w:rFonts w:asciiTheme="minorHAnsi" w:hAnsiTheme="minorHAnsi"/>
                <w:sz w:val="20"/>
                <w:szCs w:val="23"/>
              </w:rPr>
              <w:t>Follows current guidance</w:t>
            </w:r>
            <w:r w:rsidRPr="000A10AD">
              <w:rPr>
                <w:rFonts w:asciiTheme="minorHAnsi" w:hAnsiTheme="minorHAnsi"/>
                <w:color w:val="FF0000"/>
                <w:sz w:val="20"/>
                <w:szCs w:val="23"/>
              </w:rPr>
              <w:t xml:space="preserve"> </w:t>
            </w:r>
          </w:p>
        </w:tc>
      </w:tr>
    </w:tbl>
    <w:p w14:paraId="2B7B16A4" w14:textId="77777777" w:rsidR="00207664" w:rsidRDefault="00207664" w:rsidP="00207664">
      <w:pPr>
        <w:pStyle w:val="Heading1"/>
        <w:rPr>
          <w:sz w:val="24"/>
        </w:rPr>
      </w:pPr>
    </w:p>
    <w:p w14:paraId="2C2060DB" w14:textId="77777777" w:rsidR="00207664" w:rsidRDefault="00207664" w:rsidP="005B3AE8">
      <w:pPr>
        <w:pStyle w:val="Heading1"/>
        <w:tabs>
          <w:tab w:val="left" w:pos="6675"/>
        </w:tabs>
        <w:spacing w:line="240" w:lineRule="auto"/>
        <w:ind w:left="-1800" w:firstLine="187"/>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532389EE" w14:textId="4227D375" w:rsidR="004340E1" w:rsidRPr="000A10AD" w:rsidRDefault="00E72E60" w:rsidP="00E72E60">
      <w:pPr>
        <w:ind w:left="-810"/>
        <w:rPr>
          <w:color w:val="000000" w:themeColor="text1"/>
        </w:rPr>
      </w:pPr>
      <w:r w:rsidRPr="000A10AD">
        <w:t>DoD guidance requires the creation of an allowance for doubtful accounts to estimate curren</w:t>
      </w:r>
      <w:r w:rsidR="000A1F5E" w:rsidRPr="000A10AD">
        <w:t>t period bad debt expense. The FMR does not mention</w:t>
      </w:r>
      <w:r w:rsidRPr="000A10AD">
        <w:t xml:space="preserve"> the </w:t>
      </w:r>
      <w:r w:rsidR="0022656A" w:rsidRPr="000A10AD">
        <w:t xml:space="preserve">permissibility of using the </w:t>
      </w:r>
      <w:r w:rsidRPr="000A10AD">
        <w:t>direct write-off method. In addition,</w:t>
      </w:r>
      <w:r w:rsidRPr="000A10AD">
        <w:rPr>
          <w:color w:val="000000" w:themeColor="text1"/>
        </w:rPr>
        <w:t xml:space="preserve"> a</w:t>
      </w:r>
      <w:r w:rsidR="00DC249A" w:rsidRPr="000A10AD">
        <w:rPr>
          <w:color w:val="000000" w:themeColor="text1"/>
        </w:rPr>
        <w:t>ccording to GAAP, the direct write-off method is inappropriate since it often violates the matching principle of accounting</w:t>
      </w:r>
      <w:r w:rsidR="002C0BEF" w:rsidRPr="000A10AD">
        <w:rPr>
          <w:color w:val="000000" w:themeColor="text1"/>
        </w:rPr>
        <w:t xml:space="preserve">. </w:t>
      </w:r>
      <w:r w:rsidR="00B66AF1" w:rsidRPr="000A10AD">
        <w:rPr>
          <w:color w:val="000000" w:themeColor="text1"/>
        </w:rPr>
        <w:t>In this case, t</w:t>
      </w:r>
      <w:r w:rsidR="002C0BEF" w:rsidRPr="000A10AD">
        <w:rPr>
          <w:color w:val="000000" w:themeColor="text1"/>
        </w:rPr>
        <w:t xml:space="preserve">he matching principle </w:t>
      </w:r>
      <w:r w:rsidR="00676C66" w:rsidRPr="000A10AD">
        <w:rPr>
          <w:color w:val="000000" w:themeColor="text1"/>
        </w:rPr>
        <w:t>is violated if, in the current period,</w:t>
      </w:r>
      <w:r w:rsidR="00DC249A" w:rsidRPr="000A10AD">
        <w:rPr>
          <w:color w:val="000000" w:themeColor="text1"/>
        </w:rPr>
        <w:t xml:space="preserve"> bad debt expense</w:t>
      </w:r>
      <w:r w:rsidR="004902C5" w:rsidRPr="000A10AD">
        <w:rPr>
          <w:color w:val="000000" w:themeColor="text1"/>
        </w:rPr>
        <w:t xml:space="preserve"> </w:t>
      </w:r>
      <w:r w:rsidR="00676C66" w:rsidRPr="000A10AD">
        <w:rPr>
          <w:color w:val="000000" w:themeColor="text1"/>
        </w:rPr>
        <w:t xml:space="preserve">is deducted </w:t>
      </w:r>
      <w:r w:rsidR="00E30A7B" w:rsidRPr="000A10AD">
        <w:rPr>
          <w:color w:val="000000" w:themeColor="text1"/>
        </w:rPr>
        <w:t>against</w:t>
      </w:r>
      <w:r w:rsidR="002C0BEF" w:rsidRPr="000A10AD">
        <w:rPr>
          <w:color w:val="000000" w:themeColor="text1"/>
        </w:rPr>
        <w:t xml:space="preserve"> </w:t>
      </w:r>
      <w:r w:rsidR="004902C5" w:rsidRPr="000A10AD">
        <w:rPr>
          <w:color w:val="000000" w:themeColor="text1"/>
        </w:rPr>
        <w:t>previous</w:t>
      </w:r>
      <w:r w:rsidR="001D3B66" w:rsidRPr="000A10AD">
        <w:rPr>
          <w:color w:val="000000" w:themeColor="text1"/>
        </w:rPr>
        <w:t xml:space="preserve"> </w:t>
      </w:r>
      <w:r w:rsidR="00DC249A" w:rsidRPr="000A10AD">
        <w:rPr>
          <w:color w:val="000000" w:themeColor="text1"/>
        </w:rPr>
        <w:t>period</w:t>
      </w:r>
      <w:r w:rsidR="002C0BEF" w:rsidRPr="000A10AD">
        <w:rPr>
          <w:color w:val="000000" w:themeColor="text1"/>
        </w:rPr>
        <w:t xml:space="preserve"> </w:t>
      </w:r>
      <w:r w:rsidR="00E30A7B" w:rsidRPr="000A10AD">
        <w:rPr>
          <w:color w:val="000000" w:themeColor="text1"/>
        </w:rPr>
        <w:t>sales</w:t>
      </w:r>
      <w:r w:rsidR="00DC249A" w:rsidRPr="000A10AD">
        <w:rPr>
          <w:color w:val="000000" w:themeColor="text1"/>
        </w:rPr>
        <w:t>.</w:t>
      </w:r>
      <w:r w:rsidR="008D35C0" w:rsidRPr="000A10AD">
        <w:rPr>
          <w:color w:val="000000" w:themeColor="text1"/>
        </w:rPr>
        <w:t xml:space="preserve"> </w:t>
      </w:r>
    </w:p>
    <w:p w14:paraId="47B1BB65" w14:textId="77777777" w:rsidR="004340E1" w:rsidRPr="000A10AD" w:rsidRDefault="004340E1" w:rsidP="00E72E60">
      <w:pPr>
        <w:ind w:left="-810"/>
        <w:rPr>
          <w:color w:val="000000" w:themeColor="text1"/>
        </w:rPr>
      </w:pPr>
    </w:p>
    <w:p w14:paraId="3D080D3C" w14:textId="3B8E37C9" w:rsidR="00244CA7" w:rsidRPr="000A10AD" w:rsidRDefault="00C870D0" w:rsidP="00E72E60">
      <w:pPr>
        <w:ind w:left="-810"/>
        <w:rPr>
          <w:color w:val="000000" w:themeColor="text1"/>
        </w:rPr>
      </w:pPr>
      <w:r w:rsidRPr="000A10AD">
        <w:rPr>
          <w:color w:val="000000" w:themeColor="text1"/>
        </w:rPr>
        <w:t xml:space="preserve">However, it is not </w:t>
      </w:r>
      <w:r w:rsidR="0075461E" w:rsidRPr="000A10AD">
        <w:rPr>
          <w:color w:val="000000" w:themeColor="text1"/>
        </w:rPr>
        <w:t>practical</w:t>
      </w:r>
      <w:r w:rsidR="00FC6108" w:rsidRPr="000A10AD">
        <w:rPr>
          <w:color w:val="000000" w:themeColor="text1"/>
        </w:rPr>
        <w:t xml:space="preserve"> to estimate an allowance for doubtful accounts</w:t>
      </w:r>
      <w:r w:rsidR="002A7B68" w:rsidRPr="000A10AD">
        <w:rPr>
          <w:color w:val="000000" w:themeColor="text1"/>
        </w:rPr>
        <w:t xml:space="preserve"> when current period bad debt expense is expected to be immaterial</w:t>
      </w:r>
      <w:r w:rsidR="00FC6108" w:rsidRPr="000A10AD">
        <w:rPr>
          <w:color w:val="000000" w:themeColor="text1"/>
        </w:rPr>
        <w:t xml:space="preserve">. </w:t>
      </w:r>
      <w:r w:rsidR="005D5FA0" w:rsidRPr="000A10AD">
        <w:rPr>
          <w:color w:val="000000" w:themeColor="text1"/>
        </w:rPr>
        <w:t xml:space="preserve">In this situation, </w:t>
      </w:r>
      <w:r w:rsidR="000D4F86" w:rsidRPr="000A10AD">
        <w:rPr>
          <w:color w:val="000000" w:themeColor="text1"/>
        </w:rPr>
        <w:t>the use of</w:t>
      </w:r>
      <w:r w:rsidR="005D5FA0" w:rsidRPr="000A10AD">
        <w:rPr>
          <w:color w:val="000000" w:themeColor="text1"/>
        </w:rPr>
        <w:t xml:space="preserve"> the direct write-off method </w:t>
      </w:r>
      <w:r w:rsidR="00993C3F" w:rsidRPr="000A10AD">
        <w:rPr>
          <w:color w:val="000000" w:themeColor="text1"/>
        </w:rPr>
        <w:t>to calculate bad debt expense would not be materially different than using the allowance method to compute the bad debt expense.</w:t>
      </w:r>
    </w:p>
    <w:p w14:paraId="086EE83D" w14:textId="77777777" w:rsidR="004340E1" w:rsidRPr="000A10AD" w:rsidRDefault="004340E1" w:rsidP="00E72E60">
      <w:pPr>
        <w:ind w:left="-810"/>
        <w:rPr>
          <w:color w:val="000000" w:themeColor="text1"/>
        </w:rPr>
      </w:pPr>
    </w:p>
    <w:p w14:paraId="24B51AA3" w14:textId="33656049" w:rsidR="0016459C" w:rsidRPr="000A10AD" w:rsidRDefault="004340E1" w:rsidP="00B86F95">
      <w:pPr>
        <w:ind w:left="-810"/>
        <w:rPr>
          <w:color w:val="000000" w:themeColor="text1"/>
        </w:rPr>
      </w:pPr>
      <w:r w:rsidRPr="000A10AD">
        <w:rPr>
          <w:color w:val="000000" w:themeColor="text1"/>
        </w:rPr>
        <w:t>Currently, the Services</w:t>
      </w:r>
      <w:r w:rsidR="00993C3F" w:rsidRPr="000A10AD">
        <w:rPr>
          <w:color w:val="000000" w:themeColor="text1"/>
        </w:rPr>
        <w:t>, for the most part,</w:t>
      </w:r>
      <w:r w:rsidR="00F416F8" w:rsidRPr="000A10AD">
        <w:rPr>
          <w:color w:val="000000" w:themeColor="text1"/>
        </w:rPr>
        <w:t xml:space="preserve"> </w:t>
      </w:r>
      <w:r w:rsidRPr="000A10AD">
        <w:rPr>
          <w:color w:val="000000" w:themeColor="text1"/>
        </w:rPr>
        <w:t xml:space="preserve">do not have a material amount of bad debt expense. This is </w:t>
      </w:r>
      <w:r w:rsidR="00F416F8" w:rsidRPr="000A10AD">
        <w:rPr>
          <w:color w:val="000000" w:themeColor="text1"/>
        </w:rPr>
        <w:t xml:space="preserve">primarily </w:t>
      </w:r>
      <w:r w:rsidRPr="000A10AD">
        <w:rPr>
          <w:color w:val="000000" w:themeColor="text1"/>
        </w:rPr>
        <w:t>because they rarely accept checks from customers and they no longer maintain</w:t>
      </w:r>
      <w:r w:rsidR="00991845" w:rsidRPr="000A10AD">
        <w:rPr>
          <w:color w:val="000000" w:themeColor="text1"/>
        </w:rPr>
        <w:t xml:space="preserve"> many</w:t>
      </w:r>
      <w:r w:rsidRPr="000A10AD">
        <w:rPr>
          <w:color w:val="000000" w:themeColor="text1"/>
        </w:rPr>
        <w:t xml:space="preserve"> </w:t>
      </w:r>
      <w:r w:rsidR="00991845" w:rsidRPr="000A10AD">
        <w:rPr>
          <w:color w:val="000000" w:themeColor="text1"/>
        </w:rPr>
        <w:t>“</w:t>
      </w:r>
      <w:r w:rsidRPr="000A10AD">
        <w:rPr>
          <w:color w:val="000000" w:themeColor="text1"/>
        </w:rPr>
        <w:t>in-house</w:t>
      </w:r>
      <w:r w:rsidR="00991845" w:rsidRPr="000A10AD">
        <w:rPr>
          <w:color w:val="000000" w:themeColor="text1"/>
        </w:rPr>
        <w:t>”</w:t>
      </w:r>
      <w:r w:rsidRPr="000A10AD">
        <w:rPr>
          <w:color w:val="000000" w:themeColor="text1"/>
        </w:rPr>
        <w:t xml:space="preserve"> receivables. Instead</w:t>
      </w:r>
      <w:r w:rsidR="00C447B4" w:rsidRPr="000A10AD">
        <w:rPr>
          <w:color w:val="000000" w:themeColor="text1"/>
        </w:rPr>
        <w:t>,</w:t>
      </w:r>
      <w:r w:rsidRPr="000A10AD">
        <w:rPr>
          <w:color w:val="000000" w:themeColor="text1"/>
        </w:rPr>
        <w:t xml:space="preserve"> most receivables are sold to third-parties. </w:t>
      </w:r>
      <w:r w:rsidR="004B6C1E" w:rsidRPr="000A10AD">
        <w:rPr>
          <w:color w:val="000000" w:themeColor="text1"/>
        </w:rPr>
        <w:t xml:space="preserve">Because of this situation, </w:t>
      </w:r>
      <w:r w:rsidR="00C447B4" w:rsidRPr="000A10AD">
        <w:rPr>
          <w:color w:val="000000" w:themeColor="text1"/>
        </w:rPr>
        <w:t>some</w:t>
      </w:r>
      <w:r w:rsidR="004B6C1E" w:rsidRPr="000A10AD">
        <w:rPr>
          <w:color w:val="000000" w:themeColor="text1"/>
        </w:rPr>
        <w:t xml:space="preserve"> Services use the direct write-off method to record any </w:t>
      </w:r>
      <w:r w:rsidR="00993C3F" w:rsidRPr="000A10AD">
        <w:rPr>
          <w:color w:val="000000" w:themeColor="text1"/>
        </w:rPr>
        <w:t xml:space="preserve">immaterial </w:t>
      </w:r>
      <w:r w:rsidR="004B6C1E" w:rsidRPr="000A10AD">
        <w:rPr>
          <w:color w:val="000000" w:themeColor="text1"/>
        </w:rPr>
        <w:t xml:space="preserve">bad debt expenses incurred. </w:t>
      </w:r>
      <w:r w:rsidR="00993C3F" w:rsidRPr="000A10AD">
        <w:rPr>
          <w:color w:val="000000" w:themeColor="text1"/>
        </w:rPr>
        <w:t xml:space="preserve"> An exception to this is </w:t>
      </w:r>
      <w:r w:rsidR="00212927" w:rsidRPr="000A10AD">
        <w:rPr>
          <w:color w:val="000000" w:themeColor="text1"/>
        </w:rPr>
        <w:t xml:space="preserve">material </w:t>
      </w:r>
      <w:r w:rsidR="00F416F8" w:rsidRPr="000A10AD">
        <w:rPr>
          <w:color w:val="000000" w:themeColor="text1"/>
        </w:rPr>
        <w:t xml:space="preserve">bad debt associated with the </w:t>
      </w:r>
      <w:r w:rsidR="00993C3F" w:rsidRPr="000A10AD">
        <w:rPr>
          <w:color w:val="000000" w:themeColor="text1"/>
        </w:rPr>
        <w:t>Marines’ Military Star Card</w:t>
      </w:r>
      <w:r w:rsidR="00212927" w:rsidRPr="000A10AD">
        <w:rPr>
          <w:color w:val="000000" w:themeColor="text1"/>
        </w:rPr>
        <w:t xml:space="preserve">. </w:t>
      </w:r>
      <w:r w:rsidR="00FA5D23" w:rsidRPr="000A10AD">
        <w:rPr>
          <w:color w:val="000000" w:themeColor="text1"/>
        </w:rPr>
        <w:t xml:space="preserve">Because </w:t>
      </w:r>
      <w:r w:rsidR="00F416F8" w:rsidRPr="000A10AD">
        <w:rPr>
          <w:color w:val="000000" w:themeColor="text1"/>
        </w:rPr>
        <w:t xml:space="preserve">the Star Card’s </w:t>
      </w:r>
      <w:r w:rsidR="00FA5D23" w:rsidRPr="000A10AD">
        <w:rPr>
          <w:color w:val="000000" w:themeColor="text1"/>
        </w:rPr>
        <w:t>bad debt expense is material, the Marines use the allowance method to record Star Card related bad debt expense.</w:t>
      </w:r>
    </w:p>
    <w:p w14:paraId="532B9F32" w14:textId="77777777" w:rsidR="00B86F95" w:rsidRPr="0016459C" w:rsidRDefault="00B86F95" w:rsidP="00B86F95">
      <w:pPr>
        <w:ind w:left="-810"/>
      </w:pPr>
    </w:p>
    <w:p w14:paraId="7E3C7BB7" w14:textId="6A2E9F7B" w:rsidR="0016459C" w:rsidRDefault="00823BE3" w:rsidP="005B3AE8">
      <w:pPr>
        <w:pStyle w:val="Heading1"/>
        <w:tabs>
          <w:tab w:val="left" w:pos="6675"/>
        </w:tabs>
        <w:ind w:left="-1800" w:firstLine="180"/>
      </w:pPr>
      <w:r>
        <w:rPr>
          <w:sz w:val="24"/>
        </w:rPr>
        <w:t>Recommendation</w:t>
      </w:r>
    </w:p>
    <w:p w14:paraId="19AA86A6" w14:textId="5CB06429" w:rsidR="009546E5" w:rsidRPr="000A10AD" w:rsidRDefault="00637566" w:rsidP="009546E5">
      <w:pPr>
        <w:ind w:left="-810"/>
        <w:rPr>
          <w:rFonts w:asciiTheme="minorHAnsi" w:hAnsiTheme="minorHAnsi"/>
          <w:color w:val="000000" w:themeColor="text1"/>
        </w:rPr>
      </w:pPr>
      <w:r w:rsidRPr="000A10AD">
        <w:rPr>
          <w:rFonts w:asciiTheme="minorHAnsi" w:hAnsiTheme="minorHAnsi"/>
          <w:color w:val="000000" w:themeColor="text1"/>
        </w:rPr>
        <w:t>Given the curren</w:t>
      </w:r>
      <w:r w:rsidR="0016315C" w:rsidRPr="000A10AD">
        <w:rPr>
          <w:rFonts w:asciiTheme="minorHAnsi" w:hAnsiTheme="minorHAnsi"/>
          <w:color w:val="000000" w:themeColor="text1"/>
        </w:rPr>
        <w:t xml:space="preserve">t situation where the Services </w:t>
      </w:r>
      <w:r w:rsidRPr="000A10AD">
        <w:rPr>
          <w:rFonts w:asciiTheme="minorHAnsi" w:hAnsiTheme="minorHAnsi"/>
          <w:color w:val="000000" w:themeColor="text1"/>
        </w:rPr>
        <w:t>do not have material bad debt expense</w:t>
      </w:r>
      <w:r w:rsidR="009546E5" w:rsidRPr="000A10AD">
        <w:rPr>
          <w:rFonts w:asciiTheme="minorHAnsi" w:hAnsiTheme="minorHAnsi"/>
          <w:color w:val="000000" w:themeColor="text1"/>
        </w:rPr>
        <w:t xml:space="preserve">, </w:t>
      </w:r>
      <w:r w:rsidR="00E73F0B" w:rsidRPr="000A10AD">
        <w:rPr>
          <w:rFonts w:asciiTheme="minorHAnsi" w:hAnsiTheme="minorHAnsi"/>
          <w:color w:val="000000" w:themeColor="text1"/>
        </w:rPr>
        <w:t>except for the Marines’</w:t>
      </w:r>
      <w:r w:rsidR="0016315C" w:rsidRPr="000A10AD">
        <w:rPr>
          <w:rFonts w:asciiTheme="minorHAnsi" w:hAnsiTheme="minorHAnsi"/>
          <w:color w:val="000000" w:themeColor="text1"/>
        </w:rPr>
        <w:t xml:space="preserve"> bad debt</w:t>
      </w:r>
      <w:r w:rsidR="00443391" w:rsidRPr="000A10AD">
        <w:rPr>
          <w:rFonts w:asciiTheme="minorHAnsi" w:hAnsiTheme="minorHAnsi"/>
          <w:color w:val="000000" w:themeColor="text1"/>
        </w:rPr>
        <w:t xml:space="preserve"> expense</w:t>
      </w:r>
      <w:r w:rsidR="0016315C" w:rsidRPr="000A10AD">
        <w:rPr>
          <w:rFonts w:asciiTheme="minorHAnsi" w:hAnsiTheme="minorHAnsi"/>
          <w:color w:val="000000" w:themeColor="text1"/>
        </w:rPr>
        <w:t xml:space="preserve"> re</w:t>
      </w:r>
      <w:r w:rsidR="00E73F0B" w:rsidRPr="000A10AD">
        <w:rPr>
          <w:rFonts w:asciiTheme="minorHAnsi" w:hAnsiTheme="minorHAnsi"/>
          <w:color w:val="000000" w:themeColor="text1"/>
        </w:rPr>
        <w:t xml:space="preserve">lated to the </w:t>
      </w:r>
      <w:r w:rsidR="009546E5" w:rsidRPr="000A10AD">
        <w:rPr>
          <w:rFonts w:asciiTheme="minorHAnsi" w:hAnsiTheme="minorHAnsi"/>
          <w:color w:val="000000" w:themeColor="text1"/>
        </w:rPr>
        <w:t>Military Star Card</w:t>
      </w:r>
      <w:r w:rsidRPr="000A10AD">
        <w:rPr>
          <w:rFonts w:asciiTheme="minorHAnsi" w:hAnsiTheme="minorHAnsi"/>
          <w:color w:val="000000" w:themeColor="text1"/>
        </w:rPr>
        <w:t>, it is recomm</w:t>
      </w:r>
      <w:r w:rsidR="00443391" w:rsidRPr="000A10AD">
        <w:rPr>
          <w:rFonts w:asciiTheme="minorHAnsi" w:hAnsiTheme="minorHAnsi"/>
          <w:color w:val="000000" w:themeColor="text1"/>
        </w:rPr>
        <w:t>ended that the relevant portion</w:t>
      </w:r>
      <w:r w:rsidRPr="000A10AD">
        <w:rPr>
          <w:rFonts w:asciiTheme="minorHAnsi" w:hAnsiTheme="minorHAnsi"/>
          <w:color w:val="000000" w:themeColor="text1"/>
        </w:rPr>
        <w:t xml:space="preserve"> of the FMR volume 13 be restated to allow for the use of the direct write-off method when appropriate. </w:t>
      </w:r>
      <w:r w:rsidR="007801F4" w:rsidRPr="000A10AD">
        <w:rPr>
          <w:rFonts w:asciiTheme="minorHAnsi" w:hAnsiTheme="minorHAnsi"/>
          <w:color w:val="000000" w:themeColor="text1"/>
        </w:rPr>
        <w:t>If bad debt expense is not expected to be material for the current accounting period</w:t>
      </w:r>
      <w:r w:rsidR="009546E5" w:rsidRPr="000A10AD">
        <w:rPr>
          <w:rFonts w:asciiTheme="minorHAnsi" w:hAnsiTheme="minorHAnsi"/>
          <w:color w:val="000000" w:themeColor="text1"/>
        </w:rPr>
        <w:t>,</w:t>
      </w:r>
      <w:r w:rsidR="007801F4" w:rsidRPr="000A10AD">
        <w:rPr>
          <w:rFonts w:asciiTheme="minorHAnsi" w:hAnsiTheme="minorHAnsi"/>
          <w:color w:val="000000" w:themeColor="text1"/>
        </w:rPr>
        <w:t xml:space="preserve"> </w:t>
      </w:r>
      <w:r w:rsidR="00193F12" w:rsidRPr="000A10AD">
        <w:rPr>
          <w:rFonts w:asciiTheme="minorHAnsi" w:hAnsiTheme="minorHAnsi"/>
          <w:color w:val="000000" w:themeColor="text1"/>
        </w:rPr>
        <w:t xml:space="preserve">then </w:t>
      </w:r>
      <w:r w:rsidR="007801F4" w:rsidRPr="000A10AD">
        <w:rPr>
          <w:rFonts w:asciiTheme="minorHAnsi" w:hAnsiTheme="minorHAnsi"/>
          <w:color w:val="000000" w:themeColor="text1"/>
        </w:rPr>
        <w:t>the direct write-off method may be used. If bad debt expense is expected to be material fo</w:t>
      </w:r>
      <w:r w:rsidR="009546E5" w:rsidRPr="000A10AD">
        <w:rPr>
          <w:rFonts w:asciiTheme="minorHAnsi" w:hAnsiTheme="minorHAnsi"/>
          <w:color w:val="000000" w:themeColor="text1"/>
        </w:rPr>
        <w:t>r the current accounting period</w:t>
      </w:r>
      <w:r w:rsidR="00193F12" w:rsidRPr="000A10AD">
        <w:rPr>
          <w:rFonts w:asciiTheme="minorHAnsi" w:hAnsiTheme="minorHAnsi"/>
          <w:color w:val="000000" w:themeColor="text1"/>
        </w:rPr>
        <w:t>,</w:t>
      </w:r>
      <w:r w:rsidR="007801F4" w:rsidRPr="000A10AD">
        <w:rPr>
          <w:rFonts w:asciiTheme="minorHAnsi" w:hAnsiTheme="minorHAnsi"/>
          <w:color w:val="000000" w:themeColor="text1"/>
        </w:rPr>
        <w:t xml:space="preserve"> estimating an allowance for </w:t>
      </w:r>
      <w:r w:rsidR="00944F56" w:rsidRPr="000A10AD">
        <w:rPr>
          <w:rFonts w:asciiTheme="minorHAnsi" w:hAnsiTheme="minorHAnsi"/>
          <w:color w:val="000000" w:themeColor="text1"/>
        </w:rPr>
        <w:t>doubtful accounts</w:t>
      </w:r>
      <w:r w:rsidR="009546E5" w:rsidRPr="000A10AD">
        <w:rPr>
          <w:rFonts w:asciiTheme="minorHAnsi" w:hAnsiTheme="minorHAnsi"/>
          <w:color w:val="000000" w:themeColor="text1"/>
        </w:rPr>
        <w:t xml:space="preserve"> and use of the allowance method </w:t>
      </w:r>
      <w:r w:rsidR="007801F4" w:rsidRPr="000A10AD">
        <w:rPr>
          <w:rFonts w:asciiTheme="minorHAnsi" w:hAnsiTheme="minorHAnsi"/>
          <w:color w:val="000000" w:themeColor="text1"/>
        </w:rPr>
        <w:t>should be required</w:t>
      </w:r>
      <w:r w:rsidR="009546E5" w:rsidRPr="000A10AD">
        <w:rPr>
          <w:rFonts w:asciiTheme="minorHAnsi" w:hAnsiTheme="minorHAnsi"/>
          <w:color w:val="000000" w:themeColor="text1"/>
        </w:rPr>
        <w:t xml:space="preserve"> when determining the net realizable </w:t>
      </w:r>
      <w:r w:rsidR="00AA65DF" w:rsidRPr="000A10AD">
        <w:rPr>
          <w:rFonts w:asciiTheme="minorHAnsi" w:hAnsiTheme="minorHAnsi"/>
          <w:color w:val="000000" w:themeColor="text1"/>
        </w:rPr>
        <w:t>value</w:t>
      </w:r>
      <w:r w:rsidR="009546E5" w:rsidRPr="000A10AD">
        <w:rPr>
          <w:rFonts w:asciiTheme="minorHAnsi" w:hAnsiTheme="minorHAnsi"/>
          <w:color w:val="000000" w:themeColor="text1"/>
        </w:rPr>
        <w:t xml:space="preserve"> of </w:t>
      </w:r>
      <w:r w:rsidR="00F32748" w:rsidRPr="000A10AD">
        <w:rPr>
          <w:rFonts w:asciiTheme="minorHAnsi" w:hAnsiTheme="minorHAnsi"/>
          <w:color w:val="000000" w:themeColor="text1"/>
        </w:rPr>
        <w:t>a</w:t>
      </w:r>
      <w:r w:rsidR="009B295C" w:rsidRPr="000A10AD">
        <w:rPr>
          <w:rFonts w:asciiTheme="minorHAnsi" w:hAnsiTheme="minorHAnsi"/>
          <w:color w:val="000000" w:themeColor="text1"/>
        </w:rPr>
        <w:t>ccounts</w:t>
      </w:r>
      <w:r w:rsidR="00F32748" w:rsidRPr="000A10AD">
        <w:rPr>
          <w:rFonts w:asciiTheme="minorHAnsi" w:hAnsiTheme="minorHAnsi"/>
          <w:color w:val="000000" w:themeColor="text1"/>
        </w:rPr>
        <w:t xml:space="preserve"> re</w:t>
      </w:r>
      <w:r w:rsidR="009546E5" w:rsidRPr="000A10AD">
        <w:rPr>
          <w:rFonts w:asciiTheme="minorHAnsi" w:hAnsiTheme="minorHAnsi"/>
          <w:color w:val="000000" w:themeColor="text1"/>
        </w:rPr>
        <w:t>ceivable</w:t>
      </w:r>
      <w:r w:rsidR="007801F4" w:rsidRPr="000A10AD">
        <w:rPr>
          <w:rFonts w:asciiTheme="minorHAnsi" w:hAnsiTheme="minorHAnsi"/>
          <w:color w:val="000000" w:themeColor="text1"/>
        </w:rPr>
        <w:t>.</w:t>
      </w:r>
      <w:r w:rsidR="00540D11" w:rsidRPr="000A10AD">
        <w:rPr>
          <w:rFonts w:asciiTheme="minorHAnsi" w:hAnsiTheme="minorHAnsi"/>
          <w:color w:val="000000" w:themeColor="text1"/>
        </w:rPr>
        <w:t xml:space="preserve"> </w:t>
      </w:r>
    </w:p>
    <w:p w14:paraId="15E6B41E" w14:textId="77777777" w:rsidR="009546E5" w:rsidRPr="000A10AD" w:rsidRDefault="009546E5" w:rsidP="009546E5">
      <w:pPr>
        <w:ind w:left="-810"/>
        <w:rPr>
          <w:rFonts w:asciiTheme="minorHAnsi" w:hAnsiTheme="minorHAnsi"/>
          <w:color w:val="000000" w:themeColor="text1"/>
        </w:rPr>
      </w:pPr>
    </w:p>
    <w:p w14:paraId="189A9F76" w14:textId="4227F2EC" w:rsidR="009546E5" w:rsidRPr="000A10AD" w:rsidRDefault="00294355" w:rsidP="009546E5">
      <w:pPr>
        <w:ind w:left="-810"/>
        <w:rPr>
          <w:rFonts w:asciiTheme="minorHAnsi" w:hAnsiTheme="minorHAnsi"/>
          <w:color w:val="000000" w:themeColor="text1"/>
        </w:rPr>
      </w:pPr>
      <w:r w:rsidRPr="000A10AD">
        <w:rPr>
          <w:rFonts w:asciiTheme="minorHAnsi" w:hAnsiTheme="minorHAnsi"/>
          <w:color w:val="000000" w:themeColor="text1"/>
        </w:rPr>
        <w:t>An exception to the</w:t>
      </w:r>
      <w:r w:rsidR="009546E5" w:rsidRPr="000A10AD">
        <w:rPr>
          <w:rFonts w:asciiTheme="minorHAnsi" w:hAnsiTheme="minorHAnsi"/>
          <w:color w:val="000000" w:themeColor="text1"/>
        </w:rPr>
        <w:t xml:space="preserve"> rule should be allowed for cases where, if not for a limited number of accounts receivable sub-accounts with material bad debt expense, total bad debt expense</w:t>
      </w:r>
      <w:r w:rsidR="002A6B75" w:rsidRPr="000A10AD">
        <w:rPr>
          <w:rFonts w:asciiTheme="minorHAnsi" w:hAnsiTheme="minorHAnsi"/>
          <w:color w:val="000000" w:themeColor="text1"/>
        </w:rPr>
        <w:t xml:space="preserve"> would have no</w:t>
      </w:r>
      <w:r w:rsidR="009546E5" w:rsidRPr="000A10AD">
        <w:rPr>
          <w:rFonts w:asciiTheme="minorHAnsi" w:hAnsiTheme="minorHAnsi"/>
          <w:color w:val="000000" w:themeColor="text1"/>
        </w:rPr>
        <w:t xml:space="preserve"> material</w:t>
      </w:r>
      <w:r w:rsidR="001C0E3B" w:rsidRPr="000A10AD">
        <w:rPr>
          <w:rFonts w:asciiTheme="minorHAnsi" w:hAnsiTheme="minorHAnsi"/>
          <w:color w:val="000000" w:themeColor="text1"/>
        </w:rPr>
        <w:t xml:space="preserve"> </w:t>
      </w:r>
      <w:r w:rsidR="00360601" w:rsidRPr="000A10AD">
        <w:rPr>
          <w:rFonts w:asciiTheme="minorHAnsi" w:hAnsiTheme="minorHAnsi"/>
          <w:color w:val="000000" w:themeColor="text1"/>
        </w:rPr>
        <w:t>effect</w:t>
      </w:r>
      <w:r w:rsidR="009546E5" w:rsidRPr="000A10AD">
        <w:rPr>
          <w:rFonts w:asciiTheme="minorHAnsi" w:hAnsiTheme="minorHAnsi"/>
          <w:color w:val="000000" w:themeColor="text1"/>
        </w:rPr>
        <w:t xml:space="preserve"> </w:t>
      </w:r>
      <w:r w:rsidR="002A6B75" w:rsidRPr="000A10AD">
        <w:rPr>
          <w:rFonts w:asciiTheme="minorHAnsi" w:hAnsiTheme="minorHAnsi"/>
          <w:color w:val="000000" w:themeColor="text1"/>
        </w:rPr>
        <w:t xml:space="preserve">on </w:t>
      </w:r>
      <w:r w:rsidR="009546E5" w:rsidRPr="000A10AD">
        <w:rPr>
          <w:rFonts w:asciiTheme="minorHAnsi" w:hAnsiTheme="minorHAnsi"/>
          <w:color w:val="000000" w:themeColor="text1"/>
        </w:rPr>
        <w:t xml:space="preserve">the net realizable value of accounts receivable. The exception </w:t>
      </w:r>
      <w:r w:rsidR="00B67F6C" w:rsidRPr="000A10AD">
        <w:rPr>
          <w:rFonts w:asciiTheme="minorHAnsi" w:hAnsiTheme="minorHAnsi"/>
          <w:color w:val="000000" w:themeColor="text1"/>
        </w:rPr>
        <w:t>should</w:t>
      </w:r>
      <w:r w:rsidR="009546E5" w:rsidRPr="000A10AD">
        <w:rPr>
          <w:rFonts w:asciiTheme="minorHAnsi" w:hAnsiTheme="minorHAnsi"/>
          <w:color w:val="000000" w:themeColor="text1"/>
        </w:rPr>
        <w:t xml:space="preserve"> permit the use of the direct write-off method for all accounts receivable sub-accounts with immaterial bad debt expense and </w:t>
      </w:r>
      <w:r w:rsidR="00863109" w:rsidRPr="000A10AD">
        <w:rPr>
          <w:rFonts w:asciiTheme="minorHAnsi" w:hAnsiTheme="minorHAnsi"/>
          <w:color w:val="000000" w:themeColor="text1"/>
        </w:rPr>
        <w:t>should</w:t>
      </w:r>
      <w:r w:rsidR="009546E5" w:rsidRPr="000A10AD">
        <w:rPr>
          <w:rFonts w:asciiTheme="minorHAnsi" w:hAnsiTheme="minorHAnsi"/>
          <w:color w:val="000000" w:themeColor="text1"/>
        </w:rPr>
        <w:t xml:space="preserve"> require the allowance method only for accounts receivable sub-accounts with material bad debt expense. </w:t>
      </w:r>
    </w:p>
    <w:p w14:paraId="10BBBB2E" w14:textId="77777777" w:rsidR="009546E5" w:rsidRDefault="009546E5" w:rsidP="009546E5">
      <w:pPr>
        <w:ind w:left="-810"/>
        <w:rPr>
          <w:rFonts w:asciiTheme="minorHAnsi" w:hAnsiTheme="minorHAnsi"/>
          <w:color w:val="000000" w:themeColor="text1"/>
          <w:sz w:val="24"/>
        </w:rPr>
      </w:pPr>
    </w:p>
    <w:p w14:paraId="3FB198C5" w14:textId="156F8B3C" w:rsidR="003E168E" w:rsidRPr="000A10AD" w:rsidRDefault="00540D11" w:rsidP="009546E5">
      <w:pPr>
        <w:ind w:left="-810"/>
        <w:rPr>
          <w:rFonts w:asciiTheme="minorHAnsi" w:hAnsiTheme="minorHAnsi"/>
          <w:color w:val="000000" w:themeColor="text1"/>
        </w:rPr>
      </w:pPr>
      <w:r w:rsidRPr="000A10AD">
        <w:rPr>
          <w:rFonts w:asciiTheme="minorHAnsi" w:hAnsiTheme="minorHAnsi"/>
          <w:color w:val="000000" w:themeColor="text1"/>
        </w:rPr>
        <w:t>This</w:t>
      </w:r>
      <w:r w:rsidR="009546E5" w:rsidRPr="000A10AD">
        <w:rPr>
          <w:rFonts w:asciiTheme="minorHAnsi" w:hAnsiTheme="minorHAnsi"/>
          <w:color w:val="000000" w:themeColor="text1"/>
        </w:rPr>
        <w:t xml:space="preserve"> exception</w:t>
      </w:r>
      <w:r w:rsidRPr="000A10AD">
        <w:rPr>
          <w:rFonts w:asciiTheme="minorHAnsi" w:hAnsiTheme="minorHAnsi"/>
          <w:color w:val="000000" w:themeColor="text1"/>
        </w:rPr>
        <w:t xml:space="preserve"> allows for the Marines</w:t>
      </w:r>
      <w:r w:rsidR="00944F56" w:rsidRPr="000A10AD">
        <w:rPr>
          <w:rFonts w:asciiTheme="minorHAnsi" w:hAnsiTheme="minorHAnsi"/>
          <w:color w:val="000000" w:themeColor="text1"/>
        </w:rPr>
        <w:t xml:space="preserve"> (and any other Service)</w:t>
      </w:r>
      <w:r w:rsidRPr="000A10AD">
        <w:rPr>
          <w:rFonts w:asciiTheme="minorHAnsi" w:hAnsiTheme="minorHAnsi"/>
          <w:color w:val="000000" w:themeColor="text1"/>
        </w:rPr>
        <w:t xml:space="preserve"> to </w:t>
      </w:r>
      <w:r w:rsidR="00944F56" w:rsidRPr="000A10AD">
        <w:rPr>
          <w:rFonts w:asciiTheme="minorHAnsi" w:hAnsiTheme="minorHAnsi"/>
          <w:color w:val="000000" w:themeColor="text1"/>
        </w:rPr>
        <w:t xml:space="preserve">create an allowance for doubtful accounts only for materially affected </w:t>
      </w:r>
      <w:r w:rsidR="00F32748" w:rsidRPr="000A10AD">
        <w:rPr>
          <w:rFonts w:asciiTheme="minorHAnsi" w:hAnsiTheme="minorHAnsi"/>
          <w:color w:val="000000" w:themeColor="text1"/>
        </w:rPr>
        <w:t>accounts r</w:t>
      </w:r>
      <w:r w:rsidR="00E63BD1" w:rsidRPr="000A10AD">
        <w:rPr>
          <w:rFonts w:asciiTheme="minorHAnsi" w:hAnsiTheme="minorHAnsi"/>
          <w:color w:val="000000" w:themeColor="text1"/>
        </w:rPr>
        <w:t xml:space="preserve">eceivable </w:t>
      </w:r>
      <w:r w:rsidR="006D4746" w:rsidRPr="000A10AD">
        <w:rPr>
          <w:rFonts w:asciiTheme="minorHAnsi" w:hAnsiTheme="minorHAnsi"/>
          <w:color w:val="000000" w:themeColor="text1"/>
        </w:rPr>
        <w:t>accounts</w:t>
      </w:r>
      <w:r w:rsidR="00426961" w:rsidRPr="000A10AD">
        <w:rPr>
          <w:rFonts w:asciiTheme="minorHAnsi" w:hAnsiTheme="minorHAnsi"/>
          <w:color w:val="000000" w:themeColor="text1"/>
        </w:rPr>
        <w:t>,</w:t>
      </w:r>
      <w:r w:rsidR="00944F56" w:rsidRPr="000A10AD">
        <w:rPr>
          <w:rFonts w:asciiTheme="minorHAnsi" w:hAnsiTheme="minorHAnsi"/>
          <w:color w:val="000000" w:themeColor="text1"/>
        </w:rPr>
        <w:t xml:space="preserve"> like the Military Star Card receivables</w:t>
      </w:r>
      <w:r w:rsidR="006D4746" w:rsidRPr="000A10AD">
        <w:rPr>
          <w:rFonts w:asciiTheme="minorHAnsi" w:hAnsiTheme="minorHAnsi"/>
          <w:color w:val="000000" w:themeColor="text1"/>
        </w:rPr>
        <w:t xml:space="preserve"> account</w:t>
      </w:r>
      <w:r w:rsidR="00426961" w:rsidRPr="000A10AD">
        <w:rPr>
          <w:rFonts w:asciiTheme="minorHAnsi" w:hAnsiTheme="minorHAnsi"/>
          <w:color w:val="000000" w:themeColor="text1"/>
        </w:rPr>
        <w:t>,</w:t>
      </w:r>
      <w:r w:rsidR="00F32748" w:rsidRPr="000A10AD">
        <w:rPr>
          <w:rFonts w:asciiTheme="minorHAnsi" w:hAnsiTheme="minorHAnsi"/>
          <w:color w:val="000000" w:themeColor="text1"/>
        </w:rPr>
        <w:t xml:space="preserve"> </w:t>
      </w:r>
      <w:r w:rsidR="00426961" w:rsidRPr="000A10AD">
        <w:rPr>
          <w:rFonts w:asciiTheme="minorHAnsi" w:hAnsiTheme="minorHAnsi"/>
          <w:color w:val="000000" w:themeColor="text1"/>
        </w:rPr>
        <w:t>and use</w:t>
      </w:r>
      <w:r w:rsidR="00F32748" w:rsidRPr="000A10AD">
        <w:rPr>
          <w:rFonts w:asciiTheme="minorHAnsi" w:hAnsiTheme="minorHAnsi"/>
          <w:color w:val="000000" w:themeColor="text1"/>
        </w:rPr>
        <w:t xml:space="preserve"> the direct write-off method for immaterially affected accounts receivable</w:t>
      </w:r>
      <w:r w:rsidR="00E63BD1" w:rsidRPr="000A10AD">
        <w:rPr>
          <w:rFonts w:asciiTheme="minorHAnsi" w:hAnsiTheme="minorHAnsi"/>
          <w:color w:val="000000" w:themeColor="text1"/>
        </w:rPr>
        <w:t xml:space="preserve"> </w:t>
      </w:r>
      <w:r w:rsidR="00F32748" w:rsidRPr="000A10AD">
        <w:rPr>
          <w:rFonts w:asciiTheme="minorHAnsi" w:hAnsiTheme="minorHAnsi"/>
          <w:color w:val="000000" w:themeColor="text1"/>
        </w:rPr>
        <w:t>accounts</w:t>
      </w:r>
      <w:r w:rsidR="00944F56" w:rsidRPr="000A10AD">
        <w:rPr>
          <w:rFonts w:asciiTheme="minorHAnsi" w:hAnsiTheme="minorHAnsi"/>
          <w:color w:val="000000" w:themeColor="text1"/>
        </w:rPr>
        <w:t>.</w:t>
      </w:r>
      <w:r w:rsidR="00C77907" w:rsidRPr="000A10AD">
        <w:rPr>
          <w:rFonts w:asciiTheme="minorHAnsi" w:hAnsiTheme="minorHAnsi"/>
          <w:color w:val="000000" w:themeColor="text1"/>
        </w:rPr>
        <w:t xml:space="preserve"> </w:t>
      </w:r>
    </w:p>
    <w:p w14:paraId="3CC51870" w14:textId="77777777" w:rsidR="00C0696A" w:rsidRPr="000A10AD" w:rsidRDefault="00C0696A" w:rsidP="00AD5FB6">
      <w:pPr>
        <w:ind w:left="-810"/>
      </w:pPr>
    </w:p>
    <w:p w14:paraId="3D6C0550" w14:textId="4FE01DBE" w:rsidR="00AD5FB6" w:rsidRPr="000A10AD" w:rsidRDefault="00AD5FB6" w:rsidP="00AD5FB6">
      <w:pPr>
        <w:ind w:left="-810"/>
      </w:pPr>
      <w:r w:rsidRPr="000A10AD">
        <w:t>FMR Volume 13, Chapter 3. 030</w:t>
      </w:r>
      <w:r w:rsidR="00D5403B">
        <w:t>3</w:t>
      </w:r>
      <w:r w:rsidRPr="000A10AD">
        <w:t>0</w:t>
      </w:r>
      <w:r w:rsidR="00D5403B">
        <w:t>3</w:t>
      </w:r>
      <w:r w:rsidRPr="000A10AD">
        <w:t xml:space="preserve">. </w:t>
      </w:r>
      <w:r w:rsidR="00D5403B">
        <w:t>C</w:t>
      </w:r>
      <w:r w:rsidRPr="000A10AD">
        <w:t xml:space="preserve">. “Allowance for Doubtful Accounts” be restated as follows: </w:t>
      </w:r>
    </w:p>
    <w:p w14:paraId="76B7D018" w14:textId="229E7903" w:rsidR="00C96AEB" w:rsidRPr="000A10AD" w:rsidRDefault="00BA0A11" w:rsidP="00C0696A">
      <w:pPr>
        <w:ind w:left="-810"/>
        <w:rPr>
          <w:rFonts w:asciiTheme="minorHAnsi" w:hAnsiTheme="minorHAnsi"/>
          <w:color w:val="000000" w:themeColor="text1"/>
        </w:rPr>
      </w:pPr>
      <w:r w:rsidRPr="00A77E90">
        <w:rPr>
          <w:rFonts w:asciiTheme="minorHAnsi" w:hAnsiTheme="minorHAnsi"/>
        </w:rPr>
        <w:lastRenderedPageBreak/>
        <w:t xml:space="preserve">ASC, Topic 310, Subtopic 10, Section 35 (ASC 310-10-35) and ASC 450-20-25-2 require the accrual of losses from uncollectible receivables if a loss is probable and the amount of the loss can be reasonably estimated. </w:t>
      </w:r>
      <w:r w:rsidR="00AC331C" w:rsidRPr="00A77E90">
        <w:rPr>
          <w:rFonts w:asciiTheme="minorHAnsi" w:hAnsiTheme="minorHAnsi"/>
          <w:color w:val="FF0000"/>
        </w:rPr>
        <w:t xml:space="preserve">Create an allowance for doubtful accounts </w:t>
      </w:r>
      <w:r w:rsidR="000D4F25" w:rsidRPr="00A77E90">
        <w:rPr>
          <w:rFonts w:asciiTheme="minorHAnsi" w:hAnsiTheme="minorHAnsi"/>
          <w:color w:val="FF0000"/>
        </w:rPr>
        <w:t xml:space="preserve">and use the allowance method </w:t>
      </w:r>
      <w:r w:rsidR="00AC331C" w:rsidRPr="00A77E90">
        <w:rPr>
          <w:rFonts w:asciiTheme="minorHAnsi" w:hAnsiTheme="minorHAnsi"/>
          <w:color w:val="FF0000"/>
        </w:rPr>
        <w:t xml:space="preserve">when </w:t>
      </w:r>
      <w:r w:rsidR="00502BAB" w:rsidRPr="00A77E90">
        <w:rPr>
          <w:rFonts w:asciiTheme="minorHAnsi" w:hAnsiTheme="minorHAnsi"/>
          <w:color w:val="FF0000"/>
        </w:rPr>
        <w:t>b</w:t>
      </w:r>
      <w:r w:rsidR="00AC331C" w:rsidRPr="00A77E90">
        <w:rPr>
          <w:rFonts w:asciiTheme="minorHAnsi" w:hAnsiTheme="minorHAnsi"/>
          <w:color w:val="FF0000"/>
        </w:rPr>
        <w:t xml:space="preserve">ad debt expense for the current period is expected to be material. </w:t>
      </w:r>
      <w:r w:rsidR="009720E8" w:rsidRPr="00A77E90">
        <w:rPr>
          <w:rFonts w:asciiTheme="minorHAnsi" w:hAnsiTheme="minorHAnsi"/>
          <w:color w:val="FF0000"/>
        </w:rPr>
        <w:t xml:space="preserve">Use the direct write-off method to record bad debt expense when bad debt expense is expected to be immaterial. </w:t>
      </w:r>
      <w:r w:rsidR="00A003BF" w:rsidRPr="00A77E90">
        <w:rPr>
          <w:rFonts w:asciiTheme="minorHAnsi" w:hAnsiTheme="minorHAnsi"/>
          <w:color w:val="FF0000"/>
        </w:rPr>
        <w:t xml:space="preserve">If total </w:t>
      </w:r>
      <w:r w:rsidR="00C0696A" w:rsidRPr="00A77E90">
        <w:rPr>
          <w:rFonts w:asciiTheme="minorHAnsi" w:hAnsiTheme="minorHAnsi"/>
          <w:color w:val="FF0000"/>
        </w:rPr>
        <w:t xml:space="preserve">bad debt expense would be immaterial were not for a limited number of accounts receivable sub-accounts with material bad debt expense then the allowance method need only be applied to those materially affected sub-accounts. </w:t>
      </w:r>
      <w:r w:rsidR="00A8463C" w:rsidRPr="000A10AD">
        <w:rPr>
          <w:rFonts w:asciiTheme="minorHAnsi" w:hAnsiTheme="minorHAnsi"/>
          <w:color w:val="000000" w:themeColor="text1"/>
        </w:rPr>
        <w:t>When using the allowance method for bad debts, NAFIs must determine and record the amount of accounts receivable estimated to be uncollectible at the end of each reporting period. The amount to record as estimated is based on a review of the average write-offs of accounts receivable, which is based on historical data</w:t>
      </w:r>
      <w:r>
        <w:rPr>
          <w:rFonts w:asciiTheme="minorHAnsi" w:hAnsiTheme="minorHAnsi"/>
          <w:color w:val="000000" w:themeColor="text1"/>
        </w:rPr>
        <w:t xml:space="preserve"> (maintain documentation supporting the calculation and associated adjustment for audit purposes)</w:t>
      </w:r>
      <w:r w:rsidR="00A8463C" w:rsidRPr="000A10AD">
        <w:rPr>
          <w:rFonts w:asciiTheme="minorHAnsi" w:hAnsiTheme="minorHAnsi"/>
          <w:color w:val="000000" w:themeColor="text1"/>
        </w:rPr>
        <w:t>. Adjust the allowance for doubtful accounts to cover those accounts expected to become uncollectible during the next reportin</w:t>
      </w:r>
      <w:r w:rsidR="00AB2CE2" w:rsidRPr="000A10AD">
        <w:rPr>
          <w:rFonts w:asciiTheme="minorHAnsi" w:hAnsiTheme="minorHAnsi"/>
          <w:color w:val="000000" w:themeColor="text1"/>
        </w:rPr>
        <w:t>g period</w:t>
      </w:r>
      <w:r w:rsidR="00C0696A" w:rsidRPr="000A10AD">
        <w:rPr>
          <w:rFonts w:asciiTheme="minorHAnsi" w:hAnsiTheme="minorHAnsi"/>
          <w:color w:val="000000" w:themeColor="text1"/>
        </w:rPr>
        <w:t>.</w:t>
      </w:r>
    </w:p>
    <w:p w14:paraId="18F72A9F" w14:textId="77777777" w:rsidR="004D3797" w:rsidRPr="000A10AD" w:rsidRDefault="004D3797" w:rsidP="00C0696A">
      <w:pPr>
        <w:ind w:left="-810"/>
        <w:rPr>
          <w:rFonts w:asciiTheme="minorHAnsi" w:hAnsiTheme="minorHAnsi"/>
          <w:color w:val="000000" w:themeColor="text1"/>
        </w:rPr>
      </w:pPr>
    </w:p>
    <w:p w14:paraId="5D2ADBF8" w14:textId="2D0E56C1" w:rsidR="004D3797" w:rsidRPr="000A10AD" w:rsidRDefault="00287119" w:rsidP="00C0696A">
      <w:pPr>
        <w:ind w:left="-810"/>
        <w:rPr>
          <w:rFonts w:asciiTheme="minorHAnsi" w:hAnsiTheme="minorHAnsi"/>
          <w:color w:val="000000" w:themeColor="text1"/>
        </w:rPr>
      </w:pPr>
      <w:r w:rsidRPr="000A10AD">
        <w:rPr>
          <w:rFonts w:asciiTheme="minorHAnsi" w:hAnsiTheme="minorHAnsi"/>
          <w:color w:val="000000" w:themeColor="text1"/>
        </w:rPr>
        <w:t xml:space="preserve">No changes necessary to the </w:t>
      </w:r>
      <w:r w:rsidR="004D3797" w:rsidRPr="000A10AD">
        <w:rPr>
          <w:rFonts w:asciiTheme="minorHAnsi" w:hAnsiTheme="minorHAnsi"/>
          <w:color w:val="000000" w:themeColor="text1"/>
        </w:rPr>
        <w:t>DoDI 1015.15</w:t>
      </w:r>
      <w:r w:rsidRPr="000A10AD">
        <w:rPr>
          <w:rFonts w:asciiTheme="minorHAnsi" w:hAnsiTheme="minorHAnsi"/>
          <w:color w:val="000000" w:themeColor="text1"/>
        </w:rPr>
        <w:t>.</w:t>
      </w:r>
      <w:r w:rsidR="004D3797" w:rsidRPr="000A10AD">
        <w:rPr>
          <w:rFonts w:asciiTheme="minorHAnsi" w:hAnsiTheme="minorHAnsi"/>
          <w:color w:val="000000" w:themeColor="text1"/>
        </w:rPr>
        <w:t xml:space="preserve"> </w:t>
      </w:r>
    </w:p>
    <w:p w14:paraId="4B87105D" w14:textId="77777777" w:rsidR="00B86F95" w:rsidRPr="00C0696A" w:rsidRDefault="00B86F95" w:rsidP="00C0696A">
      <w:pPr>
        <w:ind w:left="-810"/>
        <w:rPr>
          <w:rFonts w:asciiTheme="minorHAnsi" w:hAnsiTheme="minorHAnsi"/>
          <w:color w:val="000000" w:themeColor="text1"/>
          <w:sz w:val="24"/>
        </w:rPr>
      </w:pPr>
    </w:p>
    <w:p w14:paraId="7A9CC406" w14:textId="77777777" w:rsidR="00207664" w:rsidRDefault="00207664" w:rsidP="005B3AE8">
      <w:pPr>
        <w:pStyle w:val="Heading1"/>
        <w:tabs>
          <w:tab w:val="left" w:pos="6675"/>
        </w:tabs>
        <w:spacing w:line="240" w:lineRule="auto"/>
        <w:ind w:left="-1800" w:firstLine="187"/>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2703"/>
        <w:gridCol w:w="8640"/>
      </w:tblGrid>
      <w:tr w:rsidR="00207664" w14:paraId="4A5944BB" w14:textId="77777777" w:rsidTr="00FB2B65">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190939"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70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83B10A"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64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92BA4AC" w14:textId="34C8F8A2" w:rsidR="00207664" w:rsidRDefault="0016459C" w:rsidP="0016459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3A4165">
              <w:rPr>
                <w:rFonts w:asciiTheme="minorHAnsi" w:hAnsiTheme="minorHAnsi" w:cstheme="majorHAnsi"/>
                <w:color w:val="auto"/>
                <w:sz w:val="24"/>
              </w:rPr>
              <w:t xml:space="preserve"> for Non-concurrence</w:t>
            </w:r>
          </w:p>
        </w:tc>
      </w:tr>
      <w:tr w:rsidR="00207664" w14:paraId="5EADA945" w14:textId="77777777" w:rsidTr="00FB2B65">
        <w:trPr>
          <w:trHeight w:val="534"/>
        </w:trPr>
        <w:tc>
          <w:tcPr>
            <w:tcW w:w="2065" w:type="dxa"/>
            <w:tcBorders>
              <w:top w:val="single" w:sz="4" w:space="0" w:color="auto"/>
              <w:left w:val="single" w:sz="4" w:space="0" w:color="auto"/>
              <w:bottom w:val="single" w:sz="4" w:space="0" w:color="auto"/>
              <w:right w:val="single" w:sz="4" w:space="0" w:color="auto"/>
            </w:tcBorders>
            <w:hideMark/>
          </w:tcPr>
          <w:p w14:paraId="5DAEA980" w14:textId="77777777" w:rsidR="00207664" w:rsidRPr="00B86F95" w:rsidRDefault="00207664" w:rsidP="00BF4937">
            <w:pPr>
              <w:pStyle w:val="Heading1"/>
              <w:tabs>
                <w:tab w:val="left" w:pos="6675"/>
              </w:tabs>
              <w:rPr>
                <w:rFonts w:asciiTheme="minorHAnsi" w:hAnsiTheme="minorHAnsi" w:cstheme="majorHAnsi"/>
                <w:color w:val="auto"/>
                <w:sz w:val="22"/>
              </w:rPr>
            </w:pPr>
            <w:r w:rsidRPr="00B86F95">
              <w:rPr>
                <w:rFonts w:asciiTheme="minorHAnsi" w:hAnsiTheme="minorHAnsi" w:cstheme="majorHAnsi"/>
                <w:color w:val="auto"/>
                <w:sz w:val="22"/>
              </w:rPr>
              <w:t>Air Force</w:t>
            </w:r>
          </w:p>
        </w:tc>
        <w:tc>
          <w:tcPr>
            <w:tcW w:w="2703" w:type="dxa"/>
            <w:tcBorders>
              <w:top w:val="single" w:sz="4" w:space="0" w:color="auto"/>
              <w:left w:val="single" w:sz="4" w:space="0" w:color="auto"/>
              <w:bottom w:val="single" w:sz="4" w:space="0" w:color="auto"/>
              <w:right w:val="single" w:sz="4" w:space="0" w:color="auto"/>
            </w:tcBorders>
          </w:tcPr>
          <w:p w14:paraId="7F5BD616" w14:textId="77777777" w:rsidR="00207664" w:rsidRDefault="00FB2B65" w:rsidP="00135D79">
            <w:pPr>
              <w:pStyle w:val="Heading1"/>
              <w:tabs>
                <w:tab w:val="left" w:pos="6675"/>
              </w:tabs>
              <w:rPr>
                <w:rFonts w:asciiTheme="minorHAnsi" w:hAnsiTheme="minorHAnsi" w:cstheme="majorHAnsi"/>
                <w:color w:val="auto"/>
                <w:sz w:val="22"/>
              </w:rPr>
            </w:pPr>
            <w:r>
              <w:rPr>
                <w:rFonts w:asciiTheme="minorHAnsi" w:hAnsiTheme="minorHAnsi" w:cstheme="majorHAnsi"/>
                <w:color w:val="auto"/>
                <w:sz w:val="22"/>
              </w:rPr>
              <w:t>Concurrence</w:t>
            </w:r>
            <w:r w:rsidR="000A10AD" w:rsidRPr="000A10AD">
              <w:rPr>
                <w:rFonts w:asciiTheme="minorHAnsi" w:hAnsiTheme="minorHAnsi" w:cstheme="majorHAnsi"/>
                <w:color w:val="auto"/>
                <w:sz w:val="22"/>
              </w:rPr>
              <w:t xml:space="preserve"> on 4/23/</w:t>
            </w:r>
            <w:r>
              <w:rPr>
                <w:rFonts w:asciiTheme="minorHAnsi" w:hAnsiTheme="minorHAnsi" w:cstheme="majorHAnsi"/>
                <w:color w:val="auto"/>
                <w:sz w:val="22"/>
              </w:rPr>
              <w:t>20</w:t>
            </w:r>
            <w:r w:rsidR="000A10AD" w:rsidRPr="000A10AD">
              <w:rPr>
                <w:rFonts w:asciiTheme="minorHAnsi" w:hAnsiTheme="minorHAnsi" w:cstheme="majorHAnsi"/>
                <w:color w:val="auto"/>
                <w:sz w:val="22"/>
              </w:rPr>
              <w:t>15</w:t>
            </w:r>
            <w:r>
              <w:rPr>
                <w:rFonts w:asciiTheme="minorHAnsi" w:hAnsiTheme="minorHAnsi" w:cstheme="majorHAnsi"/>
                <w:color w:val="auto"/>
                <w:sz w:val="22"/>
              </w:rPr>
              <w:t>.</w:t>
            </w:r>
          </w:p>
          <w:p w14:paraId="10A97F1A" w14:textId="5EDC395E" w:rsidR="00FB2B65" w:rsidRPr="00FB2B65" w:rsidRDefault="00FB2B65" w:rsidP="00FB2B65">
            <w:pPr>
              <w:pStyle w:val="BodyText"/>
              <w:spacing w:after="0"/>
              <w:rPr>
                <w:b/>
              </w:rPr>
            </w:pPr>
            <w:r w:rsidRPr="00FB2B65">
              <w:rPr>
                <w:b/>
              </w:rPr>
              <w:t>Re-concurred 10/19/2018.</w:t>
            </w:r>
          </w:p>
        </w:tc>
        <w:tc>
          <w:tcPr>
            <w:tcW w:w="8640" w:type="dxa"/>
            <w:tcBorders>
              <w:top w:val="single" w:sz="4" w:space="0" w:color="auto"/>
              <w:left w:val="single" w:sz="4" w:space="0" w:color="auto"/>
              <w:bottom w:val="single" w:sz="4" w:space="0" w:color="auto"/>
              <w:right w:val="single" w:sz="4" w:space="0" w:color="auto"/>
            </w:tcBorders>
          </w:tcPr>
          <w:p w14:paraId="517DB5A0" w14:textId="1D100E51" w:rsidR="00207664" w:rsidRPr="00B86F95" w:rsidRDefault="00207664" w:rsidP="00BF4937">
            <w:pPr>
              <w:pStyle w:val="Heading1"/>
              <w:tabs>
                <w:tab w:val="left" w:pos="6675"/>
              </w:tabs>
              <w:rPr>
                <w:rFonts w:asciiTheme="minorHAnsi" w:hAnsiTheme="minorHAnsi" w:cstheme="majorHAnsi"/>
                <w:color w:val="FF0000"/>
                <w:sz w:val="22"/>
              </w:rPr>
            </w:pPr>
          </w:p>
        </w:tc>
      </w:tr>
      <w:tr w:rsidR="00207664" w14:paraId="099E4A5A" w14:textId="77777777" w:rsidTr="00FB2B65">
        <w:trPr>
          <w:trHeight w:val="534"/>
        </w:trPr>
        <w:tc>
          <w:tcPr>
            <w:tcW w:w="2065" w:type="dxa"/>
            <w:tcBorders>
              <w:top w:val="single" w:sz="4" w:space="0" w:color="auto"/>
              <w:left w:val="single" w:sz="4" w:space="0" w:color="auto"/>
              <w:bottom w:val="single" w:sz="4" w:space="0" w:color="auto"/>
              <w:right w:val="single" w:sz="4" w:space="0" w:color="auto"/>
            </w:tcBorders>
            <w:hideMark/>
          </w:tcPr>
          <w:p w14:paraId="4743965B" w14:textId="77777777" w:rsidR="00207664" w:rsidRPr="00B86F95" w:rsidRDefault="00207664" w:rsidP="00BF4937">
            <w:pPr>
              <w:pStyle w:val="Heading1"/>
              <w:tabs>
                <w:tab w:val="left" w:pos="6675"/>
              </w:tabs>
              <w:rPr>
                <w:rFonts w:asciiTheme="minorHAnsi" w:hAnsiTheme="minorHAnsi" w:cstheme="majorHAnsi"/>
                <w:color w:val="auto"/>
                <w:sz w:val="22"/>
              </w:rPr>
            </w:pPr>
            <w:r w:rsidRPr="00B86F95">
              <w:rPr>
                <w:rFonts w:asciiTheme="minorHAnsi" w:hAnsiTheme="minorHAnsi" w:cstheme="majorHAnsi"/>
                <w:color w:val="auto"/>
                <w:sz w:val="22"/>
              </w:rPr>
              <w:t>Army</w:t>
            </w:r>
          </w:p>
        </w:tc>
        <w:tc>
          <w:tcPr>
            <w:tcW w:w="2703" w:type="dxa"/>
            <w:tcBorders>
              <w:top w:val="single" w:sz="4" w:space="0" w:color="auto"/>
              <w:left w:val="single" w:sz="4" w:space="0" w:color="auto"/>
              <w:bottom w:val="single" w:sz="4" w:space="0" w:color="auto"/>
              <w:right w:val="single" w:sz="4" w:space="0" w:color="auto"/>
            </w:tcBorders>
          </w:tcPr>
          <w:p w14:paraId="6CF23BCB" w14:textId="77777777" w:rsidR="00207664" w:rsidRDefault="000A10AD" w:rsidP="005B3AE8">
            <w:pPr>
              <w:pStyle w:val="Heading1"/>
              <w:tabs>
                <w:tab w:val="left" w:pos="6675"/>
              </w:tabs>
              <w:rPr>
                <w:rFonts w:asciiTheme="minorHAnsi" w:hAnsiTheme="minorHAnsi" w:cstheme="majorHAnsi"/>
                <w:color w:val="auto"/>
                <w:sz w:val="22"/>
              </w:rPr>
            </w:pPr>
            <w:r w:rsidRPr="000A10AD">
              <w:rPr>
                <w:rFonts w:asciiTheme="minorHAnsi" w:hAnsiTheme="minorHAnsi" w:cstheme="majorHAnsi"/>
                <w:color w:val="auto"/>
                <w:sz w:val="22"/>
              </w:rPr>
              <w:t>Concurre</w:t>
            </w:r>
            <w:r w:rsidR="005B3AE8">
              <w:rPr>
                <w:rFonts w:asciiTheme="minorHAnsi" w:hAnsiTheme="minorHAnsi" w:cstheme="majorHAnsi"/>
                <w:color w:val="auto"/>
                <w:sz w:val="22"/>
              </w:rPr>
              <w:t>nce</w:t>
            </w:r>
            <w:r w:rsidRPr="000A10AD">
              <w:rPr>
                <w:rFonts w:asciiTheme="minorHAnsi" w:hAnsiTheme="minorHAnsi" w:cstheme="majorHAnsi"/>
                <w:color w:val="auto"/>
                <w:sz w:val="22"/>
              </w:rPr>
              <w:t xml:space="preserve"> on 4/23/</w:t>
            </w:r>
            <w:r w:rsidR="005B3AE8">
              <w:rPr>
                <w:rFonts w:asciiTheme="minorHAnsi" w:hAnsiTheme="minorHAnsi" w:cstheme="majorHAnsi"/>
                <w:color w:val="auto"/>
                <w:sz w:val="22"/>
              </w:rPr>
              <w:t>20</w:t>
            </w:r>
            <w:r w:rsidRPr="000A10AD">
              <w:rPr>
                <w:rFonts w:asciiTheme="minorHAnsi" w:hAnsiTheme="minorHAnsi" w:cstheme="majorHAnsi"/>
                <w:color w:val="auto"/>
                <w:sz w:val="22"/>
              </w:rPr>
              <w:t>15</w:t>
            </w:r>
            <w:r w:rsidR="005B3AE8">
              <w:rPr>
                <w:rFonts w:asciiTheme="minorHAnsi" w:hAnsiTheme="minorHAnsi" w:cstheme="majorHAnsi"/>
                <w:color w:val="auto"/>
                <w:sz w:val="22"/>
              </w:rPr>
              <w:t>.</w:t>
            </w:r>
          </w:p>
          <w:p w14:paraId="06EBF62E" w14:textId="5E03303C" w:rsidR="005B3AE8" w:rsidRPr="00CA6956" w:rsidRDefault="005B3AE8" w:rsidP="005B3AE8">
            <w:pPr>
              <w:pStyle w:val="BodyText"/>
              <w:spacing w:after="0"/>
              <w:rPr>
                <w:b/>
              </w:rPr>
            </w:pPr>
            <w:r w:rsidRPr="00CA6956">
              <w:rPr>
                <w:b/>
              </w:rPr>
              <w:t>Re-concurred 11/2/2018.</w:t>
            </w:r>
          </w:p>
        </w:tc>
        <w:tc>
          <w:tcPr>
            <w:tcW w:w="8640" w:type="dxa"/>
            <w:tcBorders>
              <w:top w:val="single" w:sz="4" w:space="0" w:color="auto"/>
              <w:left w:val="single" w:sz="4" w:space="0" w:color="auto"/>
              <w:bottom w:val="single" w:sz="4" w:space="0" w:color="auto"/>
              <w:right w:val="single" w:sz="4" w:space="0" w:color="auto"/>
            </w:tcBorders>
          </w:tcPr>
          <w:p w14:paraId="25500360" w14:textId="7C38AAAB" w:rsidR="00207664" w:rsidRPr="00B86F95" w:rsidRDefault="00207664" w:rsidP="00BF4937">
            <w:pPr>
              <w:pStyle w:val="Heading1"/>
              <w:tabs>
                <w:tab w:val="left" w:pos="6675"/>
              </w:tabs>
              <w:rPr>
                <w:rFonts w:asciiTheme="minorHAnsi" w:hAnsiTheme="minorHAnsi" w:cstheme="majorHAnsi"/>
                <w:color w:val="FF0000"/>
                <w:sz w:val="22"/>
              </w:rPr>
            </w:pPr>
          </w:p>
        </w:tc>
      </w:tr>
      <w:tr w:rsidR="00207664" w14:paraId="6C1C1F0C" w14:textId="77777777" w:rsidTr="00FB2B65">
        <w:trPr>
          <w:trHeight w:val="525"/>
        </w:trPr>
        <w:tc>
          <w:tcPr>
            <w:tcW w:w="2065" w:type="dxa"/>
            <w:tcBorders>
              <w:top w:val="single" w:sz="4" w:space="0" w:color="auto"/>
              <w:left w:val="single" w:sz="4" w:space="0" w:color="auto"/>
              <w:bottom w:val="single" w:sz="4" w:space="0" w:color="auto"/>
              <w:right w:val="single" w:sz="4" w:space="0" w:color="auto"/>
            </w:tcBorders>
            <w:hideMark/>
          </w:tcPr>
          <w:p w14:paraId="18971552" w14:textId="77777777" w:rsidR="00207664" w:rsidRPr="00B86F95" w:rsidRDefault="00207664" w:rsidP="00BF4937">
            <w:pPr>
              <w:pStyle w:val="Heading1"/>
              <w:tabs>
                <w:tab w:val="left" w:pos="6675"/>
              </w:tabs>
              <w:rPr>
                <w:rFonts w:asciiTheme="minorHAnsi" w:hAnsiTheme="minorHAnsi" w:cstheme="majorHAnsi"/>
                <w:color w:val="auto"/>
                <w:sz w:val="22"/>
              </w:rPr>
            </w:pPr>
            <w:r w:rsidRPr="00B86F95">
              <w:rPr>
                <w:rFonts w:asciiTheme="minorHAnsi" w:hAnsiTheme="minorHAnsi" w:cstheme="majorHAnsi"/>
                <w:color w:val="auto"/>
                <w:sz w:val="22"/>
              </w:rPr>
              <w:t xml:space="preserve">Marines </w:t>
            </w:r>
          </w:p>
        </w:tc>
        <w:tc>
          <w:tcPr>
            <w:tcW w:w="2703" w:type="dxa"/>
            <w:tcBorders>
              <w:top w:val="single" w:sz="4" w:space="0" w:color="auto"/>
              <w:left w:val="single" w:sz="4" w:space="0" w:color="auto"/>
              <w:bottom w:val="single" w:sz="4" w:space="0" w:color="auto"/>
              <w:right w:val="single" w:sz="4" w:space="0" w:color="auto"/>
            </w:tcBorders>
          </w:tcPr>
          <w:p w14:paraId="7D1B678A" w14:textId="77777777" w:rsidR="00207664" w:rsidRDefault="000A10AD" w:rsidP="005B3AE8">
            <w:pPr>
              <w:pStyle w:val="Heading1"/>
              <w:tabs>
                <w:tab w:val="left" w:pos="6675"/>
              </w:tabs>
              <w:rPr>
                <w:rFonts w:asciiTheme="minorHAnsi" w:hAnsiTheme="minorHAnsi" w:cstheme="majorHAnsi"/>
                <w:color w:val="auto"/>
                <w:sz w:val="22"/>
              </w:rPr>
            </w:pPr>
            <w:r w:rsidRPr="000A10AD">
              <w:rPr>
                <w:rFonts w:asciiTheme="minorHAnsi" w:hAnsiTheme="minorHAnsi" w:cstheme="majorHAnsi"/>
                <w:color w:val="auto"/>
                <w:sz w:val="22"/>
              </w:rPr>
              <w:t>Concurre</w:t>
            </w:r>
            <w:r w:rsidR="005B3AE8">
              <w:rPr>
                <w:rFonts w:asciiTheme="minorHAnsi" w:hAnsiTheme="minorHAnsi" w:cstheme="majorHAnsi"/>
                <w:color w:val="auto"/>
                <w:sz w:val="22"/>
              </w:rPr>
              <w:t>nce</w:t>
            </w:r>
            <w:r w:rsidRPr="000A10AD">
              <w:rPr>
                <w:rFonts w:asciiTheme="minorHAnsi" w:hAnsiTheme="minorHAnsi" w:cstheme="majorHAnsi"/>
                <w:color w:val="auto"/>
                <w:sz w:val="22"/>
              </w:rPr>
              <w:t xml:space="preserve"> on 4/23/</w:t>
            </w:r>
            <w:r w:rsidR="005B3AE8">
              <w:rPr>
                <w:rFonts w:asciiTheme="minorHAnsi" w:hAnsiTheme="minorHAnsi" w:cstheme="majorHAnsi"/>
                <w:color w:val="auto"/>
                <w:sz w:val="22"/>
              </w:rPr>
              <w:t>20</w:t>
            </w:r>
            <w:r w:rsidRPr="000A10AD">
              <w:rPr>
                <w:rFonts w:asciiTheme="minorHAnsi" w:hAnsiTheme="minorHAnsi" w:cstheme="majorHAnsi"/>
                <w:color w:val="auto"/>
                <w:sz w:val="22"/>
              </w:rPr>
              <w:t>15</w:t>
            </w:r>
            <w:r w:rsidR="005B3AE8">
              <w:rPr>
                <w:rFonts w:asciiTheme="minorHAnsi" w:hAnsiTheme="minorHAnsi" w:cstheme="majorHAnsi"/>
                <w:color w:val="auto"/>
                <w:sz w:val="22"/>
              </w:rPr>
              <w:t>.</w:t>
            </w:r>
          </w:p>
          <w:p w14:paraId="7719AE39" w14:textId="13A5F770" w:rsidR="005B3AE8" w:rsidRPr="005B3AE8" w:rsidRDefault="005B3AE8" w:rsidP="005B3AE8">
            <w:pPr>
              <w:pStyle w:val="BodyText"/>
              <w:spacing w:after="0"/>
              <w:rPr>
                <w:b/>
              </w:rPr>
            </w:pPr>
            <w:r w:rsidRPr="005B3AE8">
              <w:rPr>
                <w:b/>
              </w:rPr>
              <w:t>Re-concurred 10/31/2018.</w:t>
            </w:r>
          </w:p>
        </w:tc>
        <w:tc>
          <w:tcPr>
            <w:tcW w:w="8640" w:type="dxa"/>
            <w:tcBorders>
              <w:top w:val="single" w:sz="4" w:space="0" w:color="auto"/>
              <w:left w:val="single" w:sz="4" w:space="0" w:color="auto"/>
              <w:bottom w:val="single" w:sz="4" w:space="0" w:color="auto"/>
              <w:right w:val="single" w:sz="4" w:space="0" w:color="auto"/>
            </w:tcBorders>
          </w:tcPr>
          <w:p w14:paraId="2F3DACD4" w14:textId="1712D8F9" w:rsidR="00207664" w:rsidRPr="00B86F95" w:rsidRDefault="00207664" w:rsidP="00BF4937">
            <w:pPr>
              <w:pStyle w:val="Heading1"/>
              <w:tabs>
                <w:tab w:val="left" w:pos="6675"/>
              </w:tabs>
              <w:rPr>
                <w:rFonts w:asciiTheme="minorHAnsi" w:hAnsiTheme="minorHAnsi" w:cstheme="majorHAnsi"/>
                <w:color w:val="FF0000"/>
                <w:sz w:val="22"/>
              </w:rPr>
            </w:pPr>
          </w:p>
        </w:tc>
      </w:tr>
      <w:tr w:rsidR="00207664" w14:paraId="52B048EF" w14:textId="77777777" w:rsidTr="00FB2B65">
        <w:trPr>
          <w:trHeight w:val="534"/>
        </w:trPr>
        <w:tc>
          <w:tcPr>
            <w:tcW w:w="2065" w:type="dxa"/>
            <w:tcBorders>
              <w:top w:val="single" w:sz="4" w:space="0" w:color="auto"/>
              <w:left w:val="single" w:sz="4" w:space="0" w:color="auto"/>
              <w:bottom w:val="single" w:sz="4" w:space="0" w:color="auto"/>
              <w:right w:val="single" w:sz="4" w:space="0" w:color="auto"/>
            </w:tcBorders>
            <w:hideMark/>
          </w:tcPr>
          <w:p w14:paraId="0DE00DFE" w14:textId="77777777" w:rsidR="00207664" w:rsidRPr="00B86F95" w:rsidRDefault="00207664" w:rsidP="00BF4937">
            <w:pPr>
              <w:pStyle w:val="Heading1"/>
              <w:tabs>
                <w:tab w:val="left" w:pos="6675"/>
              </w:tabs>
              <w:rPr>
                <w:rFonts w:asciiTheme="minorHAnsi" w:hAnsiTheme="minorHAnsi" w:cstheme="majorHAnsi"/>
                <w:color w:val="auto"/>
                <w:sz w:val="22"/>
              </w:rPr>
            </w:pPr>
            <w:r w:rsidRPr="00B86F95">
              <w:rPr>
                <w:rFonts w:asciiTheme="minorHAnsi" w:hAnsiTheme="minorHAnsi" w:cstheme="majorHAnsi"/>
                <w:color w:val="auto"/>
                <w:sz w:val="22"/>
              </w:rPr>
              <w:t>Navy</w:t>
            </w:r>
          </w:p>
        </w:tc>
        <w:tc>
          <w:tcPr>
            <w:tcW w:w="2703" w:type="dxa"/>
            <w:tcBorders>
              <w:top w:val="single" w:sz="4" w:space="0" w:color="auto"/>
              <w:left w:val="single" w:sz="4" w:space="0" w:color="auto"/>
              <w:bottom w:val="single" w:sz="4" w:space="0" w:color="auto"/>
              <w:right w:val="single" w:sz="4" w:space="0" w:color="auto"/>
            </w:tcBorders>
          </w:tcPr>
          <w:p w14:paraId="76E6266C" w14:textId="77777777" w:rsidR="00207664" w:rsidRDefault="000A10AD" w:rsidP="005B3AE8">
            <w:pPr>
              <w:pStyle w:val="Heading1"/>
              <w:tabs>
                <w:tab w:val="left" w:pos="6675"/>
              </w:tabs>
              <w:rPr>
                <w:rFonts w:asciiTheme="minorHAnsi" w:hAnsiTheme="minorHAnsi" w:cstheme="majorHAnsi"/>
                <w:color w:val="auto"/>
                <w:sz w:val="22"/>
              </w:rPr>
            </w:pPr>
            <w:r w:rsidRPr="000A10AD">
              <w:rPr>
                <w:rFonts w:asciiTheme="minorHAnsi" w:hAnsiTheme="minorHAnsi" w:cstheme="majorHAnsi"/>
                <w:color w:val="auto"/>
                <w:sz w:val="22"/>
              </w:rPr>
              <w:t>Concurre</w:t>
            </w:r>
            <w:r w:rsidR="005B3AE8">
              <w:rPr>
                <w:rFonts w:asciiTheme="minorHAnsi" w:hAnsiTheme="minorHAnsi" w:cstheme="majorHAnsi"/>
                <w:color w:val="auto"/>
                <w:sz w:val="22"/>
              </w:rPr>
              <w:t>nce</w:t>
            </w:r>
            <w:r w:rsidRPr="000A10AD">
              <w:rPr>
                <w:rFonts w:asciiTheme="minorHAnsi" w:hAnsiTheme="minorHAnsi" w:cstheme="majorHAnsi"/>
                <w:color w:val="auto"/>
                <w:sz w:val="22"/>
              </w:rPr>
              <w:t xml:space="preserve"> on 4/23/</w:t>
            </w:r>
            <w:r w:rsidR="005B3AE8">
              <w:rPr>
                <w:rFonts w:asciiTheme="minorHAnsi" w:hAnsiTheme="minorHAnsi" w:cstheme="majorHAnsi"/>
                <w:color w:val="auto"/>
                <w:sz w:val="22"/>
              </w:rPr>
              <w:t>20</w:t>
            </w:r>
            <w:r w:rsidRPr="000A10AD">
              <w:rPr>
                <w:rFonts w:asciiTheme="minorHAnsi" w:hAnsiTheme="minorHAnsi" w:cstheme="majorHAnsi"/>
                <w:color w:val="auto"/>
                <w:sz w:val="22"/>
              </w:rPr>
              <w:t>15</w:t>
            </w:r>
            <w:r w:rsidR="005B3AE8">
              <w:rPr>
                <w:rFonts w:asciiTheme="minorHAnsi" w:hAnsiTheme="minorHAnsi" w:cstheme="majorHAnsi"/>
                <w:color w:val="auto"/>
                <w:sz w:val="22"/>
              </w:rPr>
              <w:t>.</w:t>
            </w:r>
          </w:p>
          <w:p w14:paraId="67857BD9" w14:textId="6A64F1DD" w:rsidR="005B3AE8" w:rsidRPr="005B3AE8" w:rsidRDefault="005B3AE8" w:rsidP="005B3AE8">
            <w:pPr>
              <w:pStyle w:val="BodyText"/>
              <w:spacing w:after="0"/>
              <w:rPr>
                <w:b/>
              </w:rPr>
            </w:pPr>
            <w:r w:rsidRPr="005B3AE8">
              <w:rPr>
                <w:b/>
              </w:rPr>
              <w:t>Re-concurred 11/2/2018.</w:t>
            </w:r>
          </w:p>
        </w:tc>
        <w:tc>
          <w:tcPr>
            <w:tcW w:w="8640" w:type="dxa"/>
            <w:tcBorders>
              <w:top w:val="single" w:sz="4" w:space="0" w:color="auto"/>
              <w:left w:val="single" w:sz="4" w:space="0" w:color="auto"/>
              <w:bottom w:val="single" w:sz="4" w:space="0" w:color="auto"/>
              <w:right w:val="single" w:sz="4" w:space="0" w:color="auto"/>
            </w:tcBorders>
          </w:tcPr>
          <w:p w14:paraId="06ED24FA" w14:textId="049E1D04" w:rsidR="00207664" w:rsidRPr="00B86F95" w:rsidRDefault="00207664" w:rsidP="00DA22AB">
            <w:pPr>
              <w:pStyle w:val="Heading1"/>
              <w:tabs>
                <w:tab w:val="left" w:pos="6675"/>
              </w:tabs>
              <w:rPr>
                <w:rFonts w:asciiTheme="minorHAnsi" w:hAnsiTheme="minorHAnsi" w:cstheme="majorHAnsi"/>
                <w:color w:val="auto"/>
                <w:sz w:val="22"/>
              </w:rPr>
            </w:pPr>
          </w:p>
        </w:tc>
      </w:tr>
    </w:tbl>
    <w:p w14:paraId="46423468" w14:textId="77777777" w:rsidR="00620A26" w:rsidRPr="00836241" w:rsidRDefault="00620A26" w:rsidP="000A10AD">
      <w:pPr>
        <w:pStyle w:val="BodyText"/>
        <w:spacing w:after="0" w:line="240" w:lineRule="auto"/>
      </w:pPr>
    </w:p>
    <w:p w14:paraId="36385D65" w14:textId="77777777" w:rsidR="000A10AD" w:rsidRDefault="000A10AD" w:rsidP="005B3AE8">
      <w:pPr>
        <w:pStyle w:val="Heading1"/>
        <w:tabs>
          <w:tab w:val="left" w:pos="6675"/>
        </w:tabs>
        <w:ind w:left="-1800" w:firstLine="180"/>
        <w:rPr>
          <w:sz w:val="24"/>
        </w:rPr>
      </w:pPr>
      <w:r>
        <w:rPr>
          <w:sz w:val="24"/>
        </w:rPr>
        <w:t>USD(P&amp;R)/MC&amp;FP Disposition</w:t>
      </w:r>
    </w:p>
    <w:p w14:paraId="20E214C5" w14:textId="0A03CFC0" w:rsidR="005B3AE8" w:rsidRPr="00932F0A" w:rsidRDefault="005B3AE8" w:rsidP="005B3AE8">
      <w:pPr>
        <w:pStyle w:val="ChapterTitle"/>
        <w:rPr>
          <w:rFonts w:asciiTheme="minorHAnsi" w:hAnsiTheme="minorHAnsi"/>
          <w:b/>
          <w:color w:val="4F2D7F"/>
          <w:sz w:val="24"/>
        </w:rPr>
      </w:pPr>
      <w:r w:rsidRPr="00932F0A">
        <w:rPr>
          <w:rFonts w:asciiTheme="minorHAnsi" w:hAnsiTheme="minorHAnsi"/>
          <w:sz w:val="24"/>
        </w:rPr>
        <w:t>No further action</w:t>
      </w:r>
      <w:r>
        <w:rPr>
          <w:rFonts w:asciiTheme="minorHAnsi" w:hAnsiTheme="minorHAnsi"/>
          <w:sz w:val="24"/>
        </w:rPr>
        <w:t>.</w:t>
      </w:r>
    </w:p>
    <w:p w14:paraId="2DC60245" w14:textId="77777777" w:rsidR="000A10AD" w:rsidRDefault="000A10AD" w:rsidP="000A10AD">
      <w:pPr>
        <w:rPr>
          <w:sz w:val="24"/>
        </w:rPr>
      </w:pPr>
    </w:p>
    <w:p w14:paraId="2051D720" w14:textId="77777777" w:rsidR="000A10AD" w:rsidRDefault="000A10AD" w:rsidP="005B3AE8">
      <w:pPr>
        <w:ind w:left="-1620"/>
        <w:rPr>
          <w:rFonts w:ascii="Arial Black" w:hAnsi="Arial Black"/>
          <w:b/>
          <w:color w:val="4F2D7F"/>
          <w:sz w:val="24"/>
        </w:rPr>
      </w:pPr>
      <w:r>
        <w:rPr>
          <w:rFonts w:ascii="Arial Black" w:hAnsi="Arial Black"/>
          <w:b/>
          <w:color w:val="4F2D7F"/>
          <w:sz w:val="24"/>
        </w:rPr>
        <w:t>DFAS Disposition</w:t>
      </w:r>
    </w:p>
    <w:p w14:paraId="28BC3F12" w14:textId="384B0A14" w:rsidR="005B3AE8" w:rsidRPr="00932F0A" w:rsidRDefault="005B3AE8" w:rsidP="005B3AE8">
      <w:pPr>
        <w:pStyle w:val="ChapterTitle"/>
        <w:rPr>
          <w:rFonts w:asciiTheme="minorHAnsi" w:hAnsiTheme="minorHAnsi"/>
          <w:b/>
          <w:color w:val="4F2D7F"/>
          <w:sz w:val="24"/>
        </w:rPr>
      </w:pPr>
      <w:r>
        <w:rPr>
          <w:rFonts w:asciiTheme="minorHAnsi" w:hAnsiTheme="minorHAnsi"/>
          <w:sz w:val="24"/>
        </w:rPr>
        <w:t>DFAS revise FMR Volume 13, Chapter 3. 030</w:t>
      </w:r>
      <w:r w:rsidR="00BA0A11">
        <w:rPr>
          <w:rFonts w:asciiTheme="minorHAnsi" w:hAnsiTheme="minorHAnsi"/>
          <w:sz w:val="24"/>
        </w:rPr>
        <w:t>3</w:t>
      </w:r>
      <w:r>
        <w:rPr>
          <w:rFonts w:asciiTheme="minorHAnsi" w:hAnsiTheme="minorHAnsi"/>
          <w:sz w:val="24"/>
        </w:rPr>
        <w:t>0</w:t>
      </w:r>
      <w:r w:rsidR="00BA0A11">
        <w:rPr>
          <w:rFonts w:asciiTheme="minorHAnsi" w:hAnsiTheme="minorHAnsi"/>
          <w:sz w:val="24"/>
        </w:rPr>
        <w:t>3</w:t>
      </w:r>
      <w:r>
        <w:rPr>
          <w:rFonts w:asciiTheme="minorHAnsi" w:hAnsiTheme="minorHAnsi"/>
          <w:sz w:val="24"/>
        </w:rPr>
        <w:t xml:space="preserve">. </w:t>
      </w:r>
      <w:r w:rsidR="00BA0A11">
        <w:rPr>
          <w:rFonts w:asciiTheme="minorHAnsi" w:hAnsiTheme="minorHAnsi"/>
          <w:sz w:val="24"/>
        </w:rPr>
        <w:t>C</w:t>
      </w:r>
      <w:r>
        <w:rPr>
          <w:rFonts w:asciiTheme="minorHAnsi" w:hAnsiTheme="minorHAnsi"/>
          <w:sz w:val="24"/>
        </w:rPr>
        <w:t>.</w:t>
      </w:r>
    </w:p>
    <w:p w14:paraId="430E11E5" w14:textId="2D6A1A04" w:rsidR="000A10AD" w:rsidRPr="007B3038" w:rsidRDefault="000A10AD" w:rsidP="000A10AD">
      <w:pPr>
        <w:rPr>
          <w:sz w:val="24"/>
        </w:rPr>
      </w:pPr>
      <w:r w:rsidRPr="007B3038">
        <w:rPr>
          <w:sz w:val="24"/>
        </w:rPr>
        <w:t xml:space="preserve">       </w:t>
      </w:r>
    </w:p>
    <w:p w14:paraId="0DD15CAE" w14:textId="77777777" w:rsidR="000A10AD" w:rsidRDefault="000A10AD" w:rsidP="005B3AE8">
      <w:pPr>
        <w:pStyle w:val="Heading1"/>
        <w:tabs>
          <w:tab w:val="left" w:pos="6675"/>
        </w:tabs>
        <w:ind w:left="-1800" w:firstLine="180"/>
        <w:rPr>
          <w:sz w:val="24"/>
        </w:rPr>
      </w:pPr>
      <w:r>
        <w:rPr>
          <w:sz w:val="24"/>
        </w:rPr>
        <w:t>Forward to</w:t>
      </w:r>
      <w:r w:rsidRPr="007B3038">
        <w:rPr>
          <w:sz w:val="24"/>
        </w:rPr>
        <w:t xml:space="preserve"> DoD</w:t>
      </w:r>
      <w:r>
        <w:rPr>
          <w:sz w:val="24"/>
        </w:rPr>
        <w:t>IG</w:t>
      </w:r>
      <w:r w:rsidRPr="007B3038">
        <w:rPr>
          <w:sz w:val="24"/>
        </w:rPr>
        <w:t>?</w:t>
      </w:r>
    </w:p>
    <w:p w14:paraId="3952A2AD" w14:textId="3646A42F" w:rsidR="00207664" w:rsidRPr="00421245" w:rsidRDefault="005B3AE8" w:rsidP="00421245">
      <w:pPr>
        <w:pStyle w:val="ChapterTitle"/>
        <w:rPr>
          <w:rFonts w:asciiTheme="minorHAnsi" w:hAnsiTheme="minorHAnsi"/>
          <w:sz w:val="24"/>
        </w:rPr>
      </w:pPr>
      <w:r w:rsidRPr="00932F0A">
        <w:rPr>
          <w:rFonts w:asciiTheme="minorHAnsi" w:hAnsiTheme="minorHAnsi"/>
          <w:sz w:val="24"/>
        </w:rPr>
        <w:t>No DoDIG equities</w:t>
      </w:r>
      <w:r>
        <w:rPr>
          <w:rFonts w:asciiTheme="minorHAnsi" w:hAnsiTheme="minorHAnsi"/>
          <w:sz w:val="24"/>
        </w:rPr>
        <w:t>.</w:t>
      </w:r>
    </w:p>
    <w:p w14:paraId="3237A496" w14:textId="77777777" w:rsidR="00207664" w:rsidRDefault="00207664" w:rsidP="00A77E90">
      <w:pPr>
        <w:rPr>
          <w:sz w:val="24"/>
        </w:rPr>
      </w:pPr>
    </w:p>
    <w:sectPr w:rsidR="00207664" w:rsidSect="000A10AD">
      <w:headerReference w:type="default" r:id="rId11"/>
      <w:footerReference w:type="default" r:id="rId12"/>
      <w:pgSz w:w="15840" w:h="12240" w:orient="landscape" w:code="1"/>
      <w:pgMar w:top="1584" w:right="821" w:bottom="1138" w:left="2160"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EB110" w14:textId="77777777" w:rsidR="00987CE4" w:rsidRDefault="00987CE4">
      <w:r>
        <w:separator/>
      </w:r>
    </w:p>
  </w:endnote>
  <w:endnote w:type="continuationSeparator" w:id="0">
    <w:p w14:paraId="305F425D" w14:textId="77777777" w:rsidR="00987CE4" w:rsidRDefault="00987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600417"/>
      <w:docPartObj>
        <w:docPartGallery w:val="Page Numbers (Bottom of Page)"/>
        <w:docPartUnique/>
      </w:docPartObj>
    </w:sdtPr>
    <w:sdtEndPr>
      <w:rPr>
        <w:noProof/>
      </w:rPr>
    </w:sdtEndPr>
    <w:sdtContent>
      <w:p w14:paraId="48FADB89" w14:textId="7B20C786" w:rsidR="00916522" w:rsidRDefault="008968CA" w:rsidP="00916522">
        <w:pPr>
          <w:pStyle w:val="Footer"/>
          <w:jc w:val="right"/>
          <w:rPr>
            <w:noProof/>
          </w:rPr>
        </w:pPr>
        <w:r>
          <w:fldChar w:fldCharType="begin"/>
        </w:r>
        <w:r>
          <w:instrText xml:space="preserve"> PAGE   \* MERGEFORMAT </w:instrText>
        </w:r>
        <w:r>
          <w:fldChar w:fldCharType="separate"/>
        </w:r>
        <w:r w:rsidR="00D97673">
          <w:rPr>
            <w:noProof/>
          </w:rPr>
          <w:t>1</w:t>
        </w:r>
        <w:r>
          <w:rPr>
            <w:noProof/>
          </w:rPr>
          <w:fldChar w:fldCharType="end"/>
        </w:r>
      </w:p>
      <w:p w14:paraId="5AC4E8F7" w14:textId="76198CA5" w:rsidR="00834B9A" w:rsidRDefault="000A10AD" w:rsidP="00916522">
        <w:pPr>
          <w:pStyle w:val="Footer"/>
          <w:jc w:val="right"/>
        </w:pPr>
        <w:r>
          <w:rPr>
            <w:noProof/>
          </w:rPr>
          <w:t>September 11</w:t>
        </w:r>
        <w:r w:rsidR="004D3797">
          <w:rPr>
            <w:noProof/>
          </w:rPr>
          <w:t>, 2018</w:t>
        </w:r>
      </w:p>
    </w:sdtContent>
  </w:sdt>
  <w:p w14:paraId="4F2A2F89" w14:textId="77777777" w:rsidR="00834B9A" w:rsidRDefault="00D97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4B564" w14:textId="77777777" w:rsidR="00987CE4" w:rsidRDefault="00987CE4">
      <w:r>
        <w:separator/>
      </w:r>
    </w:p>
  </w:footnote>
  <w:footnote w:type="continuationSeparator" w:id="0">
    <w:p w14:paraId="419BD079" w14:textId="77777777" w:rsidR="00987CE4" w:rsidRDefault="00987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45D38" w14:textId="77777777" w:rsidR="00B86F95" w:rsidRDefault="00B86F95" w:rsidP="004D3797">
    <w:pPr>
      <w:pStyle w:val="Header"/>
      <w:ind w:right="1440"/>
      <w:jc w:val="center"/>
      <w:rPr>
        <w:rFonts w:asciiTheme="minorHAnsi" w:hAnsiTheme="minorHAnsi"/>
        <w:sz w:val="32"/>
      </w:rPr>
    </w:pPr>
    <w:r>
      <w:rPr>
        <w:rFonts w:asciiTheme="minorHAnsi" w:hAnsiTheme="minorHAnsi"/>
        <w:sz w:val="32"/>
      </w:rPr>
      <w:t>NAF Accounting Working Group</w:t>
    </w:r>
  </w:p>
  <w:p w14:paraId="2CDBF98F" w14:textId="27991412" w:rsidR="00834B9A" w:rsidRDefault="00E16661" w:rsidP="004D3797">
    <w:pPr>
      <w:pStyle w:val="Header"/>
      <w:ind w:right="1440"/>
      <w:jc w:val="center"/>
      <w:rPr>
        <w:rFonts w:asciiTheme="minorHAnsi" w:hAnsiTheme="minorHAnsi"/>
        <w:sz w:val="32"/>
      </w:rPr>
    </w:pPr>
    <w:r>
      <w:rPr>
        <w:rFonts w:asciiTheme="minorHAnsi" w:hAnsiTheme="minorHAnsi"/>
        <w:sz w:val="32"/>
      </w:rPr>
      <w:t>Allowance for Doubtful Accounts</w:t>
    </w:r>
  </w:p>
  <w:p w14:paraId="0E01B5E6" w14:textId="0A247239" w:rsidR="00834B9A" w:rsidRPr="00437683" w:rsidRDefault="00383C9B" w:rsidP="004D3797">
    <w:pPr>
      <w:pStyle w:val="Header"/>
      <w:ind w:right="1440"/>
      <w:jc w:val="center"/>
      <w:rPr>
        <w:rFonts w:asciiTheme="minorHAnsi" w:hAnsiTheme="minorHAnsi"/>
        <w:sz w:val="32"/>
      </w:rPr>
    </w:pPr>
    <w:r>
      <w:rPr>
        <w:rFonts w:asciiTheme="minorHAnsi" w:hAnsiTheme="minorHAnsi"/>
        <w:sz w:val="32"/>
      </w:rPr>
      <w:t>Position</w:t>
    </w:r>
    <w:r w:rsidR="008968CA">
      <w:rPr>
        <w:rFonts w:asciiTheme="minorHAnsi" w:hAnsiTheme="minorHAnsi"/>
        <w:sz w:val="32"/>
      </w:rPr>
      <w:t xml:space="preserve"> </w:t>
    </w:r>
    <w:r w:rsidR="00263175">
      <w:rPr>
        <w:rFonts w:asciiTheme="minorHAnsi" w:hAnsiTheme="minorHAnsi"/>
        <w:sz w:val="32"/>
      </w:rPr>
      <w:t>Paper</w:t>
    </w:r>
    <w:r w:rsidR="00BB37B2">
      <w:rPr>
        <w:rFonts w:asciiTheme="minorHAnsi" w:hAnsiTheme="minorHAnsi"/>
        <w:sz w:val="32"/>
      </w:rPr>
      <w:t xml:space="preserve">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C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A4A9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7" w15:restartNumberingAfterBreak="0">
    <w:nsid w:val="FFFFFF83"/>
    <w:multiLevelType w:val="singleLevel"/>
    <w:tmpl w:val="571666CA"/>
    <w:lvl w:ilvl="0">
      <w:start w:val="1"/>
      <w:numFmt w:val="bullet"/>
      <w:lvlText w:val=""/>
      <w:lvlJc w:val="left"/>
      <w:pPr>
        <w:tabs>
          <w:tab w:val="num" w:pos="641"/>
        </w:tabs>
        <w:ind w:left="641" w:hanging="284"/>
      </w:pPr>
      <w:rPr>
        <w:rFonts w:ascii="Symbol" w:hAnsi="Symbol" w:hint="default"/>
        <w:color w:val="632163"/>
      </w:rPr>
    </w:lvl>
  </w:abstractNum>
  <w:abstractNum w:abstractNumId="8" w15:restartNumberingAfterBreak="0">
    <w:nsid w:val="FFFFFF88"/>
    <w:multiLevelType w:val="singleLevel"/>
    <w:tmpl w:val="8C6C7FB2"/>
    <w:lvl w:ilvl="0">
      <w:start w:val="1"/>
      <w:numFmt w:val="decimal"/>
      <w:lvlText w:val="%1."/>
      <w:lvlJc w:val="left"/>
      <w:pPr>
        <w:tabs>
          <w:tab w:val="num" w:pos="360"/>
        </w:tabs>
        <w:ind w:left="360" w:hanging="360"/>
      </w:pPr>
    </w:lvl>
  </w:abstractNum>
  <w:abstractNum w:abstractNumId="9" w15:restartNumberingAfterBreak="0">
    <w:nsid w:val="068B23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0171DB"/>
    <w:multiLevelType w:val="hybridMultilevel"/>
    <w:tmpl w:val="9DF2F16A"/>
    <w:lvl w:ilvl="0" w:tplc="A420CAFC">
      <w:start w:val="1"/>
      <w:numFmt w:val="bullet"/>
      <w:lvlText w:val="o"/>
      <w:lvlJc w:val="left"/>
      <w:pPr>
        <w:tabs>
          <w:tab w:val="num" w:pos="907"/>
        </w:tabs>
        <w:ind w:left="907" w:hanging="397"/>
      </w:pPr>
      <w:rPr>
        <w:rFonts w:ascii="Courier New" w:hAnsi="Courier New" w:hint="default"/>
        <w:color w:val="632163"/>
      </w:rPr>
    </w:lvl>
    <w:lvl w:ilvl="1" w:tplc="D89C9A22">
      <w:start w:val="1"/>
      <w:numFmt w:val="bullet"/>
      <w:lvlText w:val="o"/>
      <w:lvlJc w:val="left"/>
      <w:pPr>
        <w:tabs>
          <w:tab w:val="num" w:pos="1077"/>
        </w:tabs>
        <w:ind w:left="1077" w:hanging="397"/>
      </w:pPr>
      <w:rPr>
        <w:rFonts w:ascii="Courier New" w:hAnsi="Courier New" w:hint="default"/>
      </w:rPr>
    </w:lvl>
    <w:lvl w:ilvl="2" w:tplc="AE5EB8C6" w:tentative="1">
      <w:start w:val="1"/>
      <w:numFmt w:val="bullet"/>
      <w:lvlText w:val=""/>
      <w:lvlJc w:val="left"/>
      <w:pPr>
        <w:tabs>
          <w:tab w:val="num" w:pos="2160"/>
        </w:tabs>
        <w:ind w:left="2160" w:hanging="360"/>
      </w:pPr>
      <w:rPr>
        <w:rFonts w:ascii="Wingdings" w:hAnsi="Wingdings" w:hint="default"/>
      </w:rPr>
    </w:lvl>
    <w:lvl w:ilvl="3" w:tplc="223A4E6A" w:tentative="1">
      <w:start w:val="1"/>
      <w:numFmt w:val="bullet"/>
      <w:lvlText w:val=""/>
      <w:lvlJc w:val="left"/>
      <w:pPr>
        <w:tabs>
          <w:tab w:val="num" w:pos="2880"/>
        </w:tabs>
        <w:ind w:left="2880" w:hanging="360"/>
      </w:pPr>
      <w:rPr>
        <w:rFonts w:ascii="Symbol" w:hAnsi="Symbol" w:hint="default"/>
      </w:rPr>
    </w:lvl>
    <w:lvl w:ilvl="4" w:tplc="92506CEC" w:tentative="1">
      <w:start w:val="1"/>
      <w:numFmt w:val="bullet"/>
      <w:lvlText w:val="o"/>
      <w:lvlJc w:val="left"/>
      <w:pPr>
        <w:tabs>
          <w:tab w:val="num" w:pos="3600"/>
        </w:tabs>
        <w:ind w:left="3600" w:hanging="360"/>
      </w:pPr>
      <w:rPr>
        <w:rFonts w:ascii="Courier New" w:hAnsi="Courier New" w:cs="Wingdings" w:hint="default"/>
      </w:rPr>
    </w:lvl>
    <w:lvl w:ilvl="5" w:tplc="2EF4A9E8" w:tentative="1">
      <w:start w:val="1"/>
      <w:numFmt w:val="bullet"/>
      <w:lvlText w:val=""/>
      <w:lvlJc w:val="left"/>
      <w:pPr>
        <w:tabs>
          <w:tab w:val="num" w:pos="4320"/>
        </w:tabs>
        <w:ind w:left="4320" w:hanging="360"/>
      </w:pPr>
      <w:rPr>
        <w:rFonts w:ascii="Wingdings" w:hAnsi="Wingdings" w:hint="default"/>
      </w:rPr>
    </w:lvl>
    <w:lvl w:ilvl="6" w:tplc="A0E283A2" w:tentative="1">
      <w:start w:val="1"/>
      <w:numFmt w:val="bullet"/>
      <w:lvlText w:val=""/>
      <w:lvlJc w:val="left"/>
      <w:pPr>
        <w:tabs>
          <w:tab w:val="num" w:pos="5040"/>
        </w:tabs>
        <w:ind w:left="5040" w:hanging="360"/>
      </w:pPr>
      <w:rPr>
        <w:rFonts w:ascii="Symbol" w:hAnsi="Symbol" w:hint="default"/>
      </w:rPr>
    </w:lvl>
    <w:lvl w:ilvl="7" w:tplc="66E615FE" w:tentative="1">
      <w:start w:val="1"/>
      <w:numFmt w:val="bullet"/>
      <w:lvlText w:val="o"/>
      <w:lvlJc w:val="left"/>
      <w:pPr>
        <w:tabs>
          <w:tab w:val="num" w:pos="5760"/>
        </w:tabs>
        <w:ind w:left="5760" w:hanging="360"/>
      </w:pPr>
      <w:rPr>
        <w:rFonts w:ascii="Courier New" w:hAnsi="Courier New" w:cs="Wingdings" w:hint="default"/>
      </w:rPr>
    </w:lvl>
    <w:lvl w:ilvl="8" w:tplc="0902F1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93AE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016035"/>
    <w:multiLevelType w:val="multilevel"/>
    <w:tmpl w:val="C2A243C0"/>
    <w:lvl w:ilvl="0">
      <w:start w:val="1"/>
      <w:numFmt w:val="decimal"/>
      <w:isLgl/>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474"/>
        </w:tabs>
        <w:ind w:left="1474" w:hanging="510"/>
      </w:pPr>
      <w:rPr>
        <w:rFonts w:hint="default"/>
      </w:rPr>
    </w:lvl>
    <w:lvl w:ilvl="3">
      <w:start w:val="1"/>
      <w:numFmt w:val="bullet"/>
      <w:lvlText w:val=""/>
      <w:lvlJc w:val="left"/>
      <w:pPr>
        <w:tabs>
          <w:tab w:val="num" w:pos="680"/>
        </w:tabs>
        <w:ind w:left="680" w:hanging="323"/>
      </w:pPr>
      <w:rPr>
        <w:rFonts w:ascii="Symbol" w:hAnsi="Symbol" w:hint="default"/>
      </w:rPr>
    </w:lvl>
    <w:lvl w:ilvl="4">
      <w:start w:val="1"/>
      <w:numFmt w:val="bullet"/>
      <w:lvlRestart w:val="0"/>
      <w:lvlText w:val=""/>
      <w:lvlJc w:val="left"/>
      <w:pPr>
        <w:tabs>
          <w:tab w:val="num" w:pos="680"/>
        </w:tabs>
        <w:ind w:left="680" w:hanging="323"/>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51FE3976"/>
    <w:multiLevelType w:val="multilevel"/>
    <w:tmpl w:val="2EC0E21A"/>
    <w:lvl w:ilvl="0">
      <w:start w:val="1"/>
      <w:numFmt w:val="decimal"/>
      <w:lvlText w:val="%1."/>
      <w:lvlJc w:val="left"/>
      <w:pPr>
        <w:tabs>
          <w:tab w:val="num" w:pos="926"/>
        </w:tabs>
        <w:ind w:left="92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24264FB"/>
    <w:multiLevelType w:val="multilevel"/>
    <w:tmpl w:val="79C604F0"/>
    <w:lvl w:ilvl="0">
      <w:start w:val="1"/>
      <w:numFmt w:val="decimal"/>
      <w:lvlText w:val="%1."/>
      <w:lvlJc w:val="left"/>
      <w:pPr>
        <w:tabs>
          <w:tab w:val="num" w:pos="643"/>
        </w:tabs>
        <w:ind w:left="64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30E7E82"/>
    <w:multiLevelType w:val="hybridMultilevel"/>
    <w:tmpl w:val="8DCC3A70"/>
    <w:lvl w:ilvl="0" w:tplc="9EEAFB3E">
      <w:start w:val="1"/>
      <w:numFmt w:val="bullet"/>
      <w:lvlText w:val=""/>
      <w:lvlJc w:val="left"/>
      <w:pPr>
        <w:tabs>
          <w:tab w:val="num" w:pos="357"/>
        </w:tabs>
        <w:ind w:left="357" w:hanging="357"/>
      </w:pPr>
      <w:rPr>
        <w:rFonts w:ascii="Symbol" w:hAnsi="Symbol" w:hint="default"/>
        <w:color w:val="632163"/>
      </w:rPr>
    </w:lvl>
    <w:lvl w:ilvl="1" w:tplc="1BF8421A" w:tentative="1">
      <w:start w:val="1"/>
      <w:numFmt w:val="bullet"/>
      <w:lvlText w:val="o"/>
      <w:lvlJc w:val="left"/>
      <w:pPr>
        <w:tabs>
          <w:tab w:val="num" w:pos="1440"/>
        </w:tabs>
        <w:ind w:left="1440" w:hanging="360"/>
      </w:pPr>
      <w:rPr>
        <w:rFonts w:ascii="Courier New" w:hAnsi="Courier New" w:cs="Wingdings" w:hint="default"/>
      </w:rPr>
    </w:lvl>
    <w:lvl w:ilvl="2" w:tplc="38CC3FC2" w:tentative="1">
      <w:start w:val="1"/>
      <w:numFmt w:val="bullet"/>
      <w:lvlText w:val=""/>
      <w:lvlJc w:val="left"/>
      <w:pPr>
        <w:tabs>
          <w:tab w:val="num" w:pos="2160"/>
        </w:tabs>
        <w:ind w:left="2160" w:hanging="360"/>
      </w:pPr>
      <w:rPr>
        <w:rFonts w:ascii="Wingdings" w:hAnsi="Wingdings" w:hint="default"/>
      </w:rPr>
    </w:lvl>
    <w:lvl w:ilvl="3" w:tplc="4574DFD4" w:tentative="1">
      <w:start w:val="1"/>
      <w:numFmt w:val="bullet"/>
      <w:lvlText w:val=""/>
      <w:lvlJc w:val="left"/>
      <w:pPr>
        <w:tabs>
          <w:tab w:val="num" w:pos="2880"/>
        </w:tabs>
        <w:ind w:left="2880" w:hanging="360"/>
      </w:pPr>
      <w:rPr>
        <w:rFonts w:ascii="Symbol" w:hAnsi="Symbol" w:hint="default"/>
      </w:rPr>
    </w:lvl>
    <w:lvl w:ilvl="4" w:tplc="8564D340" w:tentative="1">
      <w:start w:val="1"/>
      <w:numFmt w:val="bullet"/>
      <w:lvlText w:val="o"/>
      <w:lvlJc w:val="left"/>
      <w:pPr>
        <w:tabs>
          <w:tab w:val="num" w:pos="3600"/>
        </w:tabs>
        <w:ind w:left="3600" w:hanging="360"/>
      </w:pPr>
      <w:rPr>
        <w:rFonts w:ascii="Courier New" w:hAnsi="Courier New" w:cs="Wingdings" w:hint="default"/>
      </w:rPr>
    </w:lvl>
    <w:lvl w:ilvl="5" w:tplc="B4523E64" w:tentative="1">
      <w:start w:val="1"/>
      <w:numFmt w:val="bullet"/>
      <w:lvlText w:val=""/>
      <w:lvlJc w:val="left"/>
      <w:pPr>
        <w:tabs>
          <w:tab w:val="num" w:pos="4320"/>
        </w:tabs>
        <w:ind w:left="4320" w:hanging="360"/>
      </w:pPr>
      <w:rPr>
        <w:rFonts w:ascii="Wingdings" w:hAnsi="Wingdings" w:hint="default"/>
      </w:rPr>
    </w:lvl>
    <w:lvl w:ilvl="6" w:tplc="CBC860A8" w:tentative="1">
      <w:start w:val="1"/>
      <w:numFmt w:val="bullet"/>
      <w:lvlText w:val=""/>
      <w:lvlJc w:val="left"/>
      <w:pPr>
        <w:tabs>
          <w:tab w:val="num" w:pos="5040"/>
        </w:tabs>
        <w:ind w:left="5040" w:hanging="360"/>
      </w:pPr>
      <w:rPr>
        <w:rFonts w:ascii="Symbol" w:hAnsi="Symbol" w:hint="default"/>
      </w:rPr>
    </w:lvl>
    <w:lvl w:ilvl="7" w:tplc="72221F70" w:tentative="1">
      <w:start w:val="1"/>
      <w:numFmt w:val="bullet"/>
      <w:lvlText w:val="o"/>
      <w:lvlJc w:val="left"/>
      <w:pPr>
        <w:tabs>
          <w:tab w:val="num" w:pos="5760"/>
        </w:tabs>
        <w:ind w:left="5760" w:hanging="360"/>
      </w:pPr>
      <w:rPr>
        <w:rFonts w:ascii="Courier New" w:hAnsi="Courier New" w:cs="Wingdings" w:hint="default"/>
      </w:rPr>
    </w:lvl>
    <w:lvl w:ilvl="8" w:tplc="5B5C458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7E5020B8"/>
    <w:multiLevelType w:val="multilevel"/>
    <w:tmpl w:val="273ECCBE"/>
    <w:lvl w:ilvl="0">
      <w:start w:val="1"/>
      <w:numFmt w:val="decimal"/>
      <w:isLgl/>
      <w:lvlText w:val="%1."/>
      <w:lvlJc w:val="left"/>
      <w:pPr>
        <w:tabs>
          <w:tab w:val="num" w:pos="357"/>
        </w:tabs>
        <w:ind w:left="357" w:hanging="357"/>
      </w:pPr>
    </w:lvl>
    <w:lvl w:ilvl="1">
      <w:start w:val="1"/>
      <w:numFmt w:val="decimal"/>
      <w:isLgl/>
      <w:lvlText w:val="%1.%2."/>
      <w:lvlJc w:val="left"/>
      <w:pPr>
        <w:tabs>
          <w:tab w:val="num" w:pos="964"/>
        </w:tabs>
        <w:ind w:left="964" w:hanging="607"/>
      </w:pPr>
    </w:lvl>
    <w:lvl w:ilvl="2">
      <w:start w:val="1"/>
      <w:numFmt w:val="decimal"/>
      <w:isLgl/>
      <w:lvlText w:val="%1.%2.%3."/>
      <w:lvlJc w:val="left"/>
      <w:pPr>
        <w:tabs>
          <w:tab w:val="num" w:pos="1587"/>
        </w:tabs>
        <w:ind w:left="1587" w:hanging="90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7"/>
  </w:num>
  <w:num w:numId="3">
    <w:abstractNumId w:val="7"/>
  </w:num>
  <w:num w:numId="4">
    <w:abstractNumId w:val="6"/>
  </w:num>
  <w:num w:numId="5">
    <w:abstractNumId w:val="6"/>
  </w:num>
  <w:num w:numId="6">
    <w:abstractNumId w:val="8"/>
  </w:num>
  <w:num w:numId="7">
    <w:abstractNumId w:val="8"/>
  </w:num>
  <w:num w:numId="8">
    <w:abstractNumId w:val="3"/>
  </w:num>
  <w:num w:numId="9">
    <w:abstractNumId w:val="3"/>
  </w:num>
  <w:num w:numId="10">
    <w:abstractNumId w:val="19"/>
  </w:num>
  <w:num w:numId="11">
    <w:abstractNumId w:val="21"/>
  </w:num>
  <w:num w:numId="12">
    <w:abstractNumId w:val="10"/>
  </w:num>
  <w:num w:numId="13">
    <w:abstractNumId w:val="8"/>
  </w:num>
  <w:num w:numId="14">
    <w:abstractNumId w:val="3"/>
  </w:num>
  <w:num w:numId="15">
    <w:abstractNumId w:val="21"/>
  </w:num>
  <w:num w:numId="16">
    <w:abstractNumId w:val="8"/>
  </w:num>
  <w:num w:numId="17">
    <w:abstractNumId w:val="20"/>
  </w:num>
  <w:num w:numId="18">
    <w:abstractNumId w:val="20"/>
  </w:num>
  <w:num w:numId="19">
    <w:abstractNumId w:val="12"/>
  </w:num>
  <w:num w:numId="20">
    <w:abstractNumId w:val="12"/>
  </w:num>
  <w:num w:numId="21">
    <w:abstractNumId w:val="7"/>
  </w:num>
  <w:num w:numId="22">
    <w:abstractNumId w:val="5"/>
  </w:num>
  <w:num w:numId="23">
    <w:abstractNumId w:val="4"/>
  </w:num>
  <w:num w:numId="24">
    <w:abstractNumId w:val="2"/>
  </w:num>
  <w:num w:numId="25">
    <w:abstractNumId w:val="1"/>
  </w:num>
  <w:num w:numId="26">
    <w:abstractNumId w:val="0"/>
  </w:num>
  <w:num w:numId="27">
    <w:abstractNumId w:val="14"/>
  </w:num>
  <w:num w:numId="28">
    <w:abstractNumId w:val="18"/>
  </w:num>
  <w:num w:numId="29">
    <w:abstractNumId w:val="17"/>
  </w:num>
  <w:num w:numId="30">
    <w:abstractNumId w:val="11"/>
  </w:num>
  <w:num w:numId="31">
    <w:abstractNumId w:val="9"/>
  </w:num>
  <w:num w:numId="32">
    <w:abstractNumId w:val="13"/>
  </w:num>
  <w:num w:numId="33">
    <w:abstractNumId w:val="15"/>
  </w:num>
  <w:num w:numId="34">
    <w:abstractNumId w:val="15"/>
  </w:num>
  <w:num w:numId="35">
    <w:abstractNumId w:val="14"/>
  </w:num>
  <w:num w:numId="36">
    <w:abstractNumId w:val="14"/>
  </w:num>
  <w:num w:numId="37">
    <w:abstractNumId w:val="14"/>
  </w:num>
  <w:num w:numId="38">
    <w:abstractNumId w:val="14"/>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5D"/>
    <w:rsid w:val="00004412"/>
    <w:rsid w:val="0000722A"/>
    <w:rsid w:val="00007B0A"/>
    <w:rsid w:val="00025419"/>
    <w:rsid w:val="00025C0A"/>
    <w:rsid w:val="00031A55"/>
    <w:rsid w:val="00033BA2"/>
    <w:rsid w:val="00040FAB"/>
    <w:rsid w:val="0004227C"/>
    <w:rsid w:val="00070BBF"/>
    <w:rsid w:val="00074688"/>
    <w:rsid w:val="00076B78"/>
    <w:rsid w:val="00083639"/>
    <w:rsid w:val="000908CD"/>
    <w:rsid w:val="0009111E"/>
    <w:rsid w:val="00095F5B"/>
    <w:rsid w:val="00096350"/>
    <w:rsid w:val="000A10AD"/>
    <w:rsid w:val="000A1F5E"/>
    <w:rsid w:val="000A63A0"/>
    <w:rsid w:val="000B1567"/>
    <w:rsid w:val="000B6F69"/>
    <w:rsid w:val="000C7B49"/>
    <w:rsid w:val="000D1D4F"/>
    <w:rsid w:val="000D2C4A"/>
    <w:rsid w:val="000D4BE1"/>
    <w:rsid w:val="000D4F25"/>
    <w:rsid w:val="000D4F86"/>
    <w:rsid w:val="000D5770"/>
    <w:rsid w:val="000E0DB0"/>
    <w:rsid w:val="000F03B4"/>
    <w:rsid w:val="000F5F92"/>
    <w:rsid w:val="000F700D"/>
    <w:rsid w:val="000F70D8"/>
    <w:rsid w:val="00100856"/>
    <w:rsid w:val="00103281"/>
    <w:rsid w:val="0012715F"/>
    <w:rsid w:val="00130F79"/>
    <w:rsid w:val="00135D79"/>
    <w:rsid w:val="0016315C"/>
    <w:rsid w:val="0016459C"/>
    <w:rsid w:val="00165626"/>
    <w:rsid w:val="00170181"/>
    <w:rsid w:val="001701E6"/>
    <w:rsid w:val="00181C39"/>
    <w:rsid w:val="0018200C"/>
    <w:rsid w:val="00185E5D"/>
    <w:rsid w:val="00190CB1"/>
    <w:rsid w:val="00192711"/>
    <w:rsid w:val="00192F2D"/>
    <w:rsid w:val="00193F12"/>
    <w:rsid w:val="00194E79"/>
    <w:rsid w:val="001B735E"/>
    <w:rsid w:val="001C03FC"/>
    <w:rsid w:val="001C0E3B"/>
    <w:rsid w:val="001C718D"/>
    <w:rsid w:val="001D3B66"/>
    <w:rsid w:val="001E2F16"/>
    <w:rsid w:val="001E45B8"/>
    <w:rsid w:val="001E6E0F"/>
    <w:rsid w:val="001E6F57"/>
    <w:rsid w:val="001E7741"/>
    <w:rsid w:val="001F2413"/>
    <w:rsid w:val="001F4120"/>
    <w:rsid w:val="001F5935"/>
    <w:rsid w:val="001F640E"/>
    <w:rsid w:val="00200A58"/>
    <w:rsid w:val="00203F25"/>
    <w:rsid w:val="0020614E"/>
    <w:rsid w:val="00207664"/>
    <w:rsid w:val="002106C0"/>
    <w:rsid w:val="00212927"/>
    <w:rsid w:val="002130E9"/>
    <w:rsid w:val="00213D94"/>
    <w:rsid w:val="0022005A"/>
    <w:rsid w:val="0022656A"/>
    <w:rsid w:val="0023435F"/>
    <w:rsid w:val="002360B8"/>
    <w:rsid w:val="0024087C"/>
    <w:rsid w:val="00244CA7"/>
    <w:rsid w:val="002459A1"/>
    <w:rsid w:val="00254EC0"/>
    <w:rsid w:val="00254FC0"/>
    <w:rsid w:val="00257D56"/>
    <w:rsid w:val="00263175"/>
    <w:rsid w:val="002743F7"/>
    <w:rsid w:val="0027673B"/>
    <w:rsid w:val="00281D8A"/>
    <w:rsid w:val="00287119"/>
    <w:rsid w:val="00294355"/>
    <w:rsid w:val="00295755"/>
    <w:rsid w:val="002A11B3"/>
    <w:rsid w:val="002A5C61"/>
    <w:rsid w:val="002A6B75"/>
    <w:rsid w:val="002A7B68"/>
    <w:rsid w:val="002B096C"/>
    <w:rsid w:val="002C0344"/>
    <w:rsid w:val="002C0BEF"/>
    <w:rsid w:val="002C1F0E"/>
    <w:rsid w:val="002C7327"/>
    <w:rsid w:val="002D1D13"/>
    <w:rsid w:val="002E0E8B"/>
    <w:rsid w:val="002E3E2E"/>
    <w:rsid w:val="002E50F9"/>
    <w:rsid w:val="00305C57"/>
    <w:rsid w:val="003245F6"/>
    <w:rsid w:val="003427FD"/>
    <w:rsid w:val="00345AF1"/>
    <w:rsid w:val="00350333"/>
    <w:rsid w:val="00350BA2"/>
    <w:rsid w:val="003571BC"/>
    <w:rsid w:val="00360601"/>
    <w:rsid w:val="00373A14"/>
    <w:rsid w:val="00377037"/>
    <w:rsid w:val="00383C9B"/>
    <w:rsid w:val="00387144"/>
    <w:rsid w:val="00390152"/>
    <w:rsid w:val="0039141D"/>
    <w:rsid w:val="00393D00"/>
    <w:rsid w:val="003A0CFE"/>
    <w:rsid w:val="003A4165"/>
    <w:rsid w:val="003A5365"/>
    <w:rsid w:val="003A53F8"/>
    <w:rsid w:val="003B0FEE"/>
    <w:rsid w:val="003B314A"/>
    <w:rsid w:val="003B345C"/>
    <w:rsid w:val="003C58C4"/>
    <w:rsid w:val="003C7AAA"/>
    <w:rsid w:val="003E168E"/>
    <w:rsid w:val="003E7371"/>
    <w:rsid w:val="003F016B"/>
    <w:rsid w:val="003F17EC"/>
    <w:rsid w:val="00402D6F"/>
    <w:rsid w:val="00406070"/>
    <w:rsid w:val="00407B27"/>
    <w:rsid w:val="00410ED6"/>
    <w:rsid w:val="00415486"/>
    <w:rsid w:val="00421245"/>
    <w:rsid w:val="00426961"/>
    <w:rsid w:val="004340E1"/>
    <w:rsid w:val="004428B5"/>
    <w:rsid w:val="00442EEA"/>
    <w:rsid w:val="00443391"/>
    <w:rsid w:val="0044428A"/>
    <w:rsid w:val="00466DCA"/>
    <w:rsid w:val="00467281"/>
    <w:rsid w:val="004717AC"/>
    <w:rsid w:val="004741A8"/>
    <w:rsid w:val="00481414"/>
    <w:rsid w:val="004831B1"/>
    <w:rsid w:val="004860E7"/>
    <w:rsid w:val="004902C5"/>
    <w:rsid w:val="004A032A"/>
    <w:rsid w:val="004A0B50"/>
    <w:rsid w:val="004A1389"/>
    <w:rsid w:val="004A452C"/>
    <w:rsid w:val="004B04B3"/>
    <w:rsid w:val="004B6C1E"/>
    <w:rsid w:val="004C0BCF"/>
    <w:rsid w:val="004C13D3"/>
    <w:rsid w:val="004C1C80"/>
    <w:rsid w:val="004C21C7"/>
    <w:rsid w:val="004C39E6"/>
    <w:rsid w:val="004C4804"/>
    <w:rsid w:val="004D0E22"/>
    <w:rsid w:val="004D3797"/>
    <w:rsid w:val="004D57BA"/>
    <w:rsid w:val="004E3F90"/>
    <w:rsid w:val="004F084D"/>
    <w:rsid w:val="004F1CE6"/>
    <w:rsid w:val="004F29FA"/>
    <w:rsid w:val="004F5FC1"/>
    <w:rsid w:val="005015D9"/>
    <w:rsid w:val="00502BAB"/>
    <w:rsid w:val="005056DF"/>
    <w:rsid w:val="00520EF0"/>
    <w:rsid w:val="00525940"/>
    <w:rsid w:val="00527903"/>
    <w:rsid w:val="005321CA"/>
    <w:rsid w:val="00540D11"/>
    <w:rsid w:val="0056384A"/>
    <w:rsid w:val="00564CFA"/>
    <w:rsid w:val="005847DC"/>
    <w:rsid w:val="005856AB"/>
    <w:rsid w:val="00587A87"/>
    <w:rsid w:val="005922BB"/>
    <w:rsid w:val="00595A3C"/>
    <w:rsid w:val="005A025A"/>
    <w:rsid w:val="005A6053"/>
    <w:rsid w:val="005A7F34"/>
    <w:rsid w:val="005B0615"/>
    <w:rsid w:val="005B36B4"/>
    <w:rsid w:val="005B3AE8"/>
    <w:rsid w:val="005C7ACF"/>
    <w:rsid w:val="005D1401"/>
    <w:rsid w:val="005D197D"/>
    <w:rsid w:val="005D4A27"/>
    <w:rsid w:val="005D5FA0"/>
    <w:rsid w:val="005D6F96"/>
    <w:rsid w:val="005D7123"/>
    <w:rsid w:val="005D7CF4"/>
    <w:rsid w:val="005E5264"/>
    <w:rsid w:val="005E5854"/>
    <w:rsid w:val="005E6364"/>
    <w:rsid w:val="005F493E"/>
    <w:rsid w:val="005F4E22"/>
    <w:rsid w:val="00604FE9"/>
    <w:rsid w:val="00614C6D"/>
    <w:rsid w:val="00616FCD"/>
    <w:rsid w:val="00620662"/>
    <w:rsid w:val="00620A26"/>
    <w:rsid w:val="00637566"/>
    <w:rsid w:val="006423CE"/>
    <w:rsid w:val="006463F3"/>
    <w:rsid w:val="00651758"/>
    <w:rsid w:val="00652B03"/>
    <w:rsid w:val="00654240"/>
    <w:rsid w:val="0066455D"/>
    <w:rsid w:val="0067070D"/>
    <w:rsid w:val="00674308"/>
    <w:rsid w:val="00675936"/>
    <w:rsid w:val="00675B59"/>
    <w:rsid w:val="00676C66"/>
    <w:rsid w:val="006805DE"/>
    <w:rsid w:val="00684320"/>
    <w:rsid w:val="00684A95"/>
    <w:rsid w:val="006857B3"/>
    <w:rsid w:val="00686115"/>
    <w:rsid w:val="006A6D8E"/>
    <w:rsid w:val="006C1985"/>
    <w:rsid w:val="006C6D83"/>
    <w:rsid w:val="006D4746"/>
    <w:rsid w:val="006E5BB9"/>
    <w:rsid w:val="006E5BDF"/>
    <w:rsid w:val="006F0358"/>
    <w:rsid w:val="006F151C"/>
    <w:rsid w:val="006F48D8"/>
    <w:rsid w:val="007039C0"/>
    <w:rsid w:val="00714585"/>
    <w:rsid w:val="00714A57"/>
    <w:rsid w:val="00720797"/>
    <w:rsid w:val="007229C7"/>
    <w:rsid w:val="0073174E"/>
    <w:rsid w:val="0073674A"/>
    <w:rsid w:val="00740870"/>
    <w:rsid w:val="007409D9"/>
    <w:rsid w:val="00743CBB"/>
    <w:rsid w:val="00753436"/>
    <w:rsid w:val="0075461E"/>
    <w:rsid w:val="0077279F"/>
    <w:rsid w:val="0077532E"/>
    <w:rsid w:val="00775CD4"/>
    <w:rsid w:val="007801F4"/>
    <w:rsid w:val="00780E83"/>
    <w:rsid w:val="00782186"/>
    <w:rsid w:val="00782878"/>
    <w:rsid w:val="00783640"/>
    <w:rsid w:val="00791712"/>
    <w:rsid w:val="00793390"/>
    <w:rsid w:val="00793A8F"/>
    <w:rsid w:val="007A2607"/>
    <w:rsid w:val="007B1005"/>
    <w:rsid w:val="007B7D3D"/>
    <w:rsid w:val="007C128E"/>
    <w:rsid w:val="007C4C86"/>
    <w:rsid w:val="007D16BF"/>
    <w:rsid w:val="007D404C"/>
    <w:rsid w:val="007D477B"/>
    <w:rsid w:val="007D74D8"/>
    <w:rsid w:val="007F2CED"/>
    <w:rsid w:val="00801103"/>
    <w:rsid w:val="0080431F"/>
    <w:rsid w:val="0080621D"/>
    <w:rsid w:val="00811031"/>
    <w:rsid w:val="00814CA5"/>
    <w:rsid w:val="008155A7"/>
    <w:rsid w:val="00820293"/>
    <w:rsid w:val="0082211C"/>
    <w:rsid w:val="00823268"/>
    <w:rsid w:val="00823BE3"/>
    <w:rsid w:val="0082535E"/>
    <w:rsid w:val="00836241"/>
    <w:rsid w:val="00841819"/>
    <w:rsid w:val="00845438"/>
    <w:rsid w:val="00850E2C"/>
    <w:rsid w:val="008612FE"/>
    <w:rsid w:val="00863109"/>
    <w:rsid w:val="00873A0C"/>
    <w:rsid w:val="008752F6"/>
    <w:rsid w:val="008763B0"/>
    <w:rsid w:val="00880DB6"/>
    <w:rsid w:val="008816BE"/>
    <w:rsid w:val="00884B99"/>
    <w:rsid w:val="00885834"/>
    <w:rsid w:val="00885978"/>
    <w:rsid w:val="00892F92"/>
    <w:rsid w:val="008968CA"/>
    <w:rsid w:val="008A14B3"/>
    <w:rsid w:val="008A3F88"/>
    <w:rsid w:val="008A3F93"/>
    <w:rsid w:val="008A6680"/>
    <w:rsid w:val="008B023D"/>
    <w:rsid w:val="008B2672"/>
    <w:rsid w:val="008D35C0"/>
    <w:rsid w:val="008D6CD1"/>
    <w:rsid w:val="008E183C"/>
    <w:rsid w:val="008E2F09"/>
    <w:rsid w:val="008E636E"/>
    <w:rsid w:val="008F2A5D"/>
    <w:rsid w:val="008F2F93"/>
    <w:rsid w:val="008F4505"/>
    <w:rsid w:val="008F5F9E"/>
    <w:rsid w:val="0090198A"/>
    <w:rsid w:val="00902FA0"/>
    <w:rsid w:val="00903A0C"/>
    <w:rsid w:val="00910FBF"/>
    <w:rsid w:val="00912079"/>
    <w:rsid w:val="00914255"/>
    <w:rsid w:val="009178E1"/>
    <w:rsid w:val="00927E91"/>
    <w:rsid w:val="0093411F"/>
    <w:rsid w:val="0093757F"/>
    <w:rsid w:val="00944F56"/>
    <w:rsid w:val="009452C2"/>
    <w:rsid w:val="00946621"/>
    <w:rsid w:val="009546E5"/>
    <w:rsid w:val="009705EE"/>
    <w:rsid w:val="009720E8"/>
    <w:rsid w:val="00983195"/>
    <w:rsid w:val="00987CE4"/>
    <w:rsid w:val="00991845"/>
    <w:rsid w:val="00992AAA"/>
    <w:rsid w:val="00993C3F"/>
    <w:rsid w:val="00996945"/>
    <w:rsid w:val="00996C1F"/>
    <w:rsid w:val="0099726B"/>
    <w:rsid w:val="009B02C0"/>
    <w:rsid w:val="009B295C"/>
    <w:rsid w:val="009B373B"/>
    <w:rsid w:val="009B65DE"/>
    <w:rsid w:val="009C1C8E"/>
    <w:rsid w:val="009C36F4"/>
    <w:rsid w:val="009C7DE5"/>
    <w:rsid w:val="009D4B77"/>
    <w:rsid w:val="009D68F6"/>
    <w:rsid w:val="009D7CAE"/>
    <w:rsid w:val="009E5112"/>
    <w:rsid w:val="009F1CA5"/>
    <w:rsid w:val="009F5E03"/>
    <w:rsid w:val="00A003BF"/>
    <w:rsid w:val="00A01A41"/>
    <w:rsid w:val="00A04092"/>
    <w:rsid w:val="00A122A6"/>
    <w:rsid w:val="00A1631D"/>
    <w:rsid w:val="00A40559"/>
    <w:rsid w:val="00A41370"/>
    <w:rsid w:val="00A416A5"/>
    <w:rsid w:val="00A4192F"/>
    <w:rsid w:val="00A60F37"/>
    <w:rsid w:val="00A7516A"/>
    <w:rsid w:val="00A77E90"/>
    <w:rsid w:val="00A8463C"/>
    <w:rsid w:val="00A85BE2"/>
    <w:rsid w:val="00A93CB7"/>
    <w:rsid w:val="00AA59B7"/>
    <w:rsid w:val="00AA65DF"/>
    <w:rsid w:val="00AB2CE2"/>
    <w:rsid w:val="00AB7110"/>
    <w:rsid w:val="00AC0BC7"/>
    <w:rsid w:val="00AC2CD2"/>
    <w:rsid w:val="00AC331C"/>
    <w:rsid w:val="00AC7954"/>
    <w:rsid w:val="00AD5FB6"/>
    <w:rsid w:val="00B01266"/>
    <w:rsid w:val="00B049AC"/>
    <w:rsid w:val="00B06BD4"/>
    <w:rsid w:val="00B102F8"/>
    <w:rsid w:val="00B162A2"/>
    <w:rsid w:val="00B22B69"/>
    <w:rsid w:val="00B265EE"/>
    <w:rsid w:val="00B26E06"/>
    <w:rsid w:val="00B3571B"/>
    <w:rsid w:val="00B41553"/>
    <w:rsid w:val="00B43778"/>
    <w:rsid w:val="00B506B3"/>
    <w:rsid w:val="00B555AF"/>
    <w:rsid w:val="00B66AF1"/>
    <w:rsid w:val="00B674F2"/>
    <w:rsid w:val="00B67F6C"/>
    <w:rsid w:val="00B72016"/>
    <w:rsid w:val="00B80497"/>
    <w:rsid w:val="00B83B71"/>
    <w:rsid w:val="00B848C5"/>
    <w:rsid w:val="00B86F95"/>
    <w:rsid w:val="00B87B47"/>
    <w:rsid w:val="00B900C3"/>
    <w:rsid w:val="00B90DAD"/>
    <w:rsid w:val="00B9611F"/>
    <w:rsid w:val="00BA0A11"/>
    <w:rsid w:val="00BA45DA"/>
    <w:rsid w:val="00BA7293"/>
    <w:rsid w:val="00BB02A7"/>
    <w:rsid w:val="00BB37B2"/>
    <w:rsid w:val="00BB649B"/>
    <w:rsid w:val="00BC0C19"/>
    <w:rsid w:val="00BC0D28"/>
    <w:rsid w:val="00BC3C6A"/>
    <w:rsid w:val="00BC5538"/>
    <w:rsid w:val="00BC6A0F"/>
    <w:rsid w:val="00BD60B1"/>
    <w:rsid w:val="00BD6718"/>
    <w:rsid w:val="00BE1F71"/>
    <w:rsid w:val="00BE7657"/>
    <w:rsid w:val="00BF2997"/>
    <w:rsid w:val="00BF53DB"/>
    <w:rsid w:val="00BF55BC"/>
    <w:rsid w:val="00C05FE2"/>
    <w:rsid w:val="00C06346"/>
    <w:rsid w:val="00C0696A"/>
    <w:rsid w:val="00C06A54"/>
    <w:rsid w:val="00C102D8"/>
    <w:rsid w:val="00C1193F"/>
    <w:rsid w:val="00C12B12"/>
    <w:rsid w:val="00C24A2B"/>
    <w:rsid w:val="00C268F5"/>
    <w:rsid w:val="00C26B8F"/>
    <w:rsid w:val="00C30725"/>
    <w:rsid w:val="00C379E7"/>
    <w:rsid w:val="00C447B4"/>
    <w:rsid w:val="00C558C6"/>
    <w:rsid w:val="00C56784"/>
    <w:rsid w:val="00C57363"/>
    <w:rsid w:val="00C67082"/>
    <w:rsid w:val="00C67377"/>
    <w:rsid w:val="00C67F4B"/>
    <w:rsid w:val="00C77907"/>
    <w:rsid w:val="00C80066"/>
    <w:rsid w:val="00C833A6"/>
    <w:rsid w:val="00C870D0"/>
    <w:rsid w:val="00C910A7"/>
    <w:rsid w:val="00C943C5"/>
    <w:rsid w:val="00C96AEB"/>
    <w:rsid w:val="00CA257C"/>
    <w:rsid w:val="00CA44C4"/>
    <w:rsid w:val="00CA5635"/>
    <w:rsid w:val="00CA6956"/>
    <w:rsid w:val="00CB3731"/>
    <w:rsid w:val="00CB43EB"/>
    <w:rsid w:val="00CB7393"/>
    <w:rsid w:val="00CC4EB0"/>
    <w:rsid w:val="00CD6F56"/>
    <w:rsid w:val="00CE3239"/>
    <w:rsid w:val="00CE3414"/>
    <w:rsid w:val="00CE39FF"/>
    <w:rsid w:val="00CE3A92"/>
    <w:rsid w:val="00CE59DF"/>
    <w:rsid w:val="00CF0580"/>
    <w:rsid w:val="00CF293F"/>
    <w:rsid w:val="00D021B1"/>
    <w:rsid w:val="00D12F3F"/>
    <w:rsid w:val="00D13A02"/>
    <w:rsid w:val="00D13BF2"/>
    <w:rsid w:val="00D24DDE"/>
    <w:rsid w:val="00D25198"/>
    <w:rsid w:val="00D27A8A"/>
    <w:rsid w:val="00D3063E"/>
    <w:rsid w:val="00D3544C"/>
    <w:rsid w:val="00D4547A"/>
    <w:rsid w:val="00D523A3"/>
    <w:rsid w:val="00D53D16"/>
    <w:rsid w:val="00D5403B"/>
    <w:rsid w:val="00D71751"/>
    <w:rsid w:val="00D870EC"/>
    <w:rsid w:val="00D90CC4"/>
    <w:rsid w:val="00D97673"/>
    <w:rsid w:val="00DA22AB"/>
    <w:rsid w:val="00DA5AE3"/>
    <w:rsid w:val="00DB0A05"/>
    <w:rsid w:val="00DB4181"/>
    <w:rsid w:val="00DB43A0"/>
    <w:rsid w:val="00DB46B4"/>
    <w:rsid w:val="00DC249A"/>
    <w:rsid w:val="00DC6CFA"/>
    <w:rsid w:val="00DD29C5"/>
    <w:rsid w:val="00DD4979"/>
    <w:rsid w:val="00DD5DC6"/>
    <w:rsid w:val="00DE15D6"/>
    <w:rsid w:val="00DE1F78"/>
    <w:rsid w:val="00DE346C"/>
    <w:rsid w:val="00DE6510"/>
    <w:rsid w:val="00DF47E1"/>
    <w:rsid w:val="00E01682"/>
    <w:rsid w:val="00E03B6A"/>
    <w:rsid w:val="00E05471"/>
    <w:rsid w:val="00E1206D"/>
    <w:rsid w:val="00E16661"/>
    <w:rsid w:val="00E21DE5"/>
    <w:rsid w:val="00E26170"/>
    <w:rsid w:val="00E30A7B"/>
    <w:rsid w:val="00E31607"/>
    <w:rsid w:val="00E33500"/>
    <w:rsid w:val="00E476E6"/>
    <w:rsid w:val="00E61338"/>
    <w:rsid w:val="00E625FF"/>
    <w:rsid w:val="00E63BD1"/>
    <w:rsid w:val="00E669D3"/>
    <w:rsid w:val="00E718E5"/>
    <w:rsid w:val="00E72E60"/>
    <w:rsid w:val="00E73F0B"/>
    <w:rsid w:val="00E749D0"/>
    <w:rsid w:val="00E82A4B"/>
    <w:rsid w:val="00E86CD3"/>
    <w:rsid w:val="00E90A82"/>
    <w:rsid w:val="00E92D74"/>
    <w:rsid w:val="00E9408E"/>
    <w:rsid w:val="00E94E92"/>
    <w:rsid w:val="00E95513"/>
    <w:rsid w:val="00E95D6D"/>
    <w:rsid w:val="00E9713A"/>
    <w:rsid w:val="00EA0F4A"/>
    <w:rsid w:val="00EA39C9"/>
    <w:rsid w:val="00EA4A13"/>
    <w:rsid w:val="00EA6922"/>
    <w:rsid w:val="00EB5BFE"/>
    <w:rsid w:val="00EE03EE"/>
    <w:rsid w:val="00EF07B4"/>
    <w:rsid w:val="00EF56B2"/>
    <w:rsid w:val="00F04B71"/>
    <w:rsid w:val="00F05345"/>
    <w:rsid w:val="00F1752A"/>
    <w:rsid w:val="00F21151"/>
    <w:rsid w:val="00F21677"/>
    <w:rsid w:val="00F25540"/>
    <w:rsid w:val="00F255CB"/>
    <w:rsid w:val="00F26CD1"/>
    <w:rsid w:val="00F32748"/>
    <w:rsid w:val="00F33342"/>
    <w:rsid w:val="00F416F8"/>
    <w:rsid w:val="00F44314"/>
    <w:rsid w:val="00F47B9A"/>
    <w:rsid w:val="00F52EE0"/>
    <w:rsid w:val="00F55B46"/>
    <w:rsid w:val="00F66211"/>
    <w:rsid w:val="00F85024"/>
    <w:rsid w:val="00F917A0"/>
    <w:rsid w:val="00FA1B81"/>
    <w:rsid w:val="00FA4F39"/>
    <w:rsid w:val="00FA5D23"/>
    <w:rsid w:val="00FB2B65"/>
    <w:rsid w:val="00FB3726"/>
    <w:rsid w:val="00FB7840"/>
    <w:rsid w:val="00FC20BB"/>
    <w:rsid w:val="00FC5BE7"/>
    <w:rsid w:val="00FC6108"/>
    <w:rsid w:val="00FE2555"/>
    <w:rsid w:val="00FE25E2"/>
    <w:rsid w:val="00FE6CFD"/>
    <w:rsid w:val="00FE71D3"/>
    <w:rsid w:val="00FF18EC"/>
    <w:rsid w:val="00FF415F"/>
    <w:rsid w:val="00FF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419280B"/>
  <w15:chartTrackingRefBased/>
  <w15:docId w15:val="{6BEB1227-EC86-433C-AAB6-3FB5D09D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7664"/>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39"/>
      </w:numPr>
      <w:spacing w:before="240" w:after="60"/>
      <w:outlineLvl w:val="4"/>
    </w:pPr>
    <w:rPr>
      <w:b/>
      <w:bCs/>
      <w:i/>
      <w:iCs/>
      <w:sz w:val="26"/>
      <w:szCs w:val="26"/>
    </w:rPr>
  </w:style>
  <w:style w:type="paragraph" w:styleId="Heading6">
    <w:name w:val="heading 6"/>
    <w:basedOn w:val="Normal"/>
    <w:next w:val="Normal"/>
    <w:rsid w:val="00B3571B"/>
    <w:pPr>
      <w:numPr>
        <w:ilvl w:val="5"/>
        <w:numId w:val="39"/>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39"/>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39"/>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39"/>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20"/>
      </w:numPr>
      <w:spacing w:after="20" w:line="260" w:lineRule="atLeast"/>
    </w:pPr>
  </w:style>
  <w:style w:type="paragraph" w:styleId="ListNumber2">
    <w:name w:val="List Number 2"/>
    <w:basedOn w:val="Normal"/>
    <w:qFormat/>
    <w:pPr>
      <w:numPr>
        <w:ilvl w:val="1"/>
        <w:numId w:val="18"/>
      </w:numPr>
      <w:spacing w:after="284" w:line="280" w:lineRule="atLeast"/>
    </w:pPr>
  </w:style>
  <w:style w:type="paragraph" w:styleId="ListNumber">
    <w:name w:val="List Number"/>
    <w:basedOn w:val="Normal"/>
    <w:qFormat/>
    <w:pPr>
      <w:numPr>
        <w:numId w:val="18"/>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20"/>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18"/>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32"/>
      </w:numPr>
      <w:spacing w:after="284" w:line="280" w:lineRule="atLeast"/>
    </w:pPr>
  </w:style>
  <w:style w:type="paragraph" w:customStyle="1" w:styleId="ParagraphBullet2">
    <w:name w:val="Paragraph Bullet 2"/>
    <w:basedOn w:val="Normal"/>
    <w:qFormat/>
    <w:pPr>
      <w:numPr>
        <w:ilvl w:val="1"/>
        <w:numId w:val="32"/>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34"/>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34"/>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uiPriority w:val="20"/>
    <w:qForma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4"/>
      </w:numPr>
      <w:contextualSpacing/>
    </w:pPr>
  </w:style>
  <w:style w:type="paragraph" w:styleId="ListBullet4">
    <w:name w:val="List Bullet 4"/>
    <w:basedOn w:val="Normal"/>
    <w:rsid w:val="00DD5DC6"/>
    <w:pPr>
      <w:numPr>
        <w:numId w:val="22"/>
      </w:numPr>
      <w:contextualSpacing/>
    </w:pPr>
  </w:style>
  <w:style w:type="paragraph" w:styleId="ListBullet5">
    <w:name w:val="List Bullet 5"/>
    <w:basedOn w:val="Normal"/>
    <w:rsid w:val="00DD5DC6"/>
    <w:pPr>
      <w:numPr>
        <w:numId w:val="23"/>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25"/>
      </w:numPr>
      <w:contextualSpacing/>
    </w:pPr>
  </w:style>
  <w:style w:type="paragraph" w:styleId="ListNumber5">
    <w:name w:val="List Number 5"/>
    <w:basedOn w:val="Normal"/>
    <w:rsid w:val="00DD5DC6"/>
    <w:pPr>
      <w:numPr>
        <w:numId w:val="26"/>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207664"/>
    <w:rPr>
      <w:rFonts w:ascii="Arial" w:hAnsi="Arial" w:cs="Arial"/>
      <w:b/>
      <w:color w:val="747678"/>
      <w:sz w:val="13"/>
    </w:rPr>
  </w:style>
  <w:style w:type="character" w:customStyle="1" w:styleId="Heading1Char">
    <w:name w:val="Heading 1 Char"/>
    <w:basedOn w:val="DefaultParagraphFont"/>
    <w:link w:val="Heading1"/>
    <w:rsid w:val="00207664"/>
    <w:rPr>
      <w:rFonts w:ascii="Arial Black" w:hAnsi="Arial Black" w:cs="Arial"/>
      <w:bCs/>
      <w:color w:val="4F2D7F"/>
      <w:kern w:val="32"/>
      <w:sz w:val="19"/>
      <w:szCs w:val="28"/>
    </w:rPr>
  </w:style>
  <w:style w:type="character" w:customStyle="1" w:styleId="Heading2Char">
    <w:name w:val="Heading 2 Char"/>
    <w:basedOn w:val="DefaultParagraphFont"/>
    <w:link w:val="Heading2"/>
    <w:rsid w:val="00207664"/>
    <w:rPr>
      <w:rFonts w:ascii="Arial Black" w:hAnsi="Arial Black" w:cs="Arial"/>
      <w:kern w:val="32"/>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308063">
      <w:bodyDiv w:val="1"/>
      <w:marLeft w:val="0"/>
      <w:marRight w:val="0"/>
      <w:marTop w:val="0"/>
      <w:marBottom w:val="0"/>
      <w:divBdr>
        <w:top w:val="none" w:sz="0" w:space="0" w:color="auto"/>
        <w:left w:val="none" w:sz="0" w:space="0" w:color="auto"/>
        <w:bottom w:val="none" w:sz="0" w:space="0" w:color="auto"/>
        <w:right w:val="none" w:sz="0" w:space="0" w:color="auto"/>
      </w:divBdr>
      <w:divsChild>
        <w:div w:id="877547705">
          <w:marLeft w:val="0"/>
          <w:marRight w:val="0"/>
          <w:marTop w:val="0"/>
          <w:marBottom w:val="0"/>
          <w:divBdr>
            <w:top w:val="none" w:sz="0" w:space="0" w:color="auto"/>
            <w:left w:val="none" w:sz="0" w:space="0" w:color="auto"/>
            <w:bottom w:val="none" w:sz="0" w:space="0" w:color="auto"/>
            <w:right w:val="none" w:sz="0" w:space="0" w:color="auto"/>
          </w:divBdr>
          <w:divsChild>
            <w:div w:id="1516115390">
              <w:marLeft w:val="0"/>
              <w:marRight w:val="0"/>
              <w:marTop w:val="0"/>
              <w:marBottom w:val="0"/>
              <w:divBdr>
                <w:top w:val="none" w:sz="0" w:space="0" w:color="auto"/>
                <w:left w:val="none" w:sz="0" w:space="0" w:color="auto"/>
                <w:bottom w:val="none" w:sz="0" w:space="0" w:color="auto"/>
                <w:right w:val="none" w:sz="0" w:space="0" w:color="auto"/>
              </w:divBdr>
              <w:divsChild>
                <w:div w:id="113597409">
                  <w:marLeft w:val="0"/>
                  <w:marRight w:val="0"/>
                  <w:marTop w:val="0"/>
                  <w:marBottom w:val="0"/>
                  <w:divBdr>
                    <w:top w:val="none" w:sz="0" w:space="0" w:color="auto"/>
                    <w:left w:val="none" w:sz="0" w:space="0" w:color="auto"/>
                    <w:bottom w:val="none" w:sz="0" w:space="0" w:color="auto"/>
                    <w:right w:val="none" w:sz="0" w:space="0" w:color="auto"/>
                  </w:divBdr>
                  <w:divsChild>
                    <w:div w:id="1917393755">
                      <w:marLeft w:val="0"/>
                      <w:marRight w:val="0"/>
                      <w:marTop w:val="0"/>
                      <w:marBottom w:val="0"/>
                      <w:divBdr>
                        <w:top w:val="none" w:sz="0" w:space="0" w:color="auto"/>
                        <w:left w:val="none" w:sz="0" w:space="0" w:color="auto"/>
                        <w:bottom w:val="none" w:sz="0" w:space="0" w:color="auto"/>
                        <w:right w:val="none" w:sz="0" w:space="0" w:color="auto"/>
                      </w:divBdr>
                      <w:divsChild>
                        <w:div w:id="1121877524">
                          <w:marLeft w:val="0"/>
                          <w:marRight w:val="0"/>
                          <w:marTop w:val="0"/>
                          <w:marBottom w:val="0"/>
                          <w:divBdr>
                            <w:top w:val="none" w:sz="0" w:space="0" w:color="auto"/>
                            <w:left w:val="none" w:sz="0" w:space="0" w:color="auto"/>
                            <w:bottom w:val="none" w:sz="0" w:space="0" w:color="auto"/>
                            <w:right w:val="none" w:sz="0" w:space="0" w:color="auto"/>
                          </w:divBdr>
                          <w:divsChild>
                            <w:div w:id="1776243806">
                              <w:marLeft w:val="0"/>
                              <w:marRight w:val="0"/>
                              <w:marTop w:val="0"/>
                              <w:marBottom w:val="0"/>
                              <w:divBdr>
                                <w:top w:val="none" w:sz="0" w:space="0" w:color="auto"/>
                                <w:left w:val="none" w:sz="0" w:space="0" w:color="auto"/>
                                <w:bottom w:val="none" w:sz="0" w:space="0" w:color="auto"/>
                                <w:right w:val="none" w:sz="0" w:space="0" w:color="auto"/>
                              </w:divBdr>
                              <w:divsChild>
                                <w:div w:id="1914045950">
                                  <w:marLeft w:val="0"/>
                                  <w:marRight w:val="0"/>
                                  <w:marTop w:val="0"/>
                                  <w:marBottom w:val="0"/>
                                  <w:divBdr>
                                    <w:top w:val="none" w:sz="0" w:space="0" w:color="auto"/>
                                    <w:left w:val="none" w:sz="0" w:space="0" w:color="auto"/>
                                    <w:bottom w:val="none" w:sz="0" w:space="0" w:color="auto"/>
                                    <w:right w:val="none" w:sz="0" w:space="0" w:color="auto"/>
                                  </w:divBdr>
                                  <w:divsChild>
                                    <w:div w:id="1594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8C73C-175B-4C5C-BF27-0AC58B34CA51}">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4C43C32-BEFC-4BFC-9C94-799A6751BEC9}">
  <ds:schemaRefs>
    <ds:schemaRef ds:uri="http://schemas.microsoft.com/sharepoint/v3/contenttype/forms"/>
  </ds:schemaRefs>
</ds:datastoreItem>
</file>

<file path=customXml/itemProps3.xml><?xml version="1.0" encoding="utf-8"?>
<ds:datastoreItem xmlns:ds="http://schemas.openxmlformats.org/officeDocument/2006/customXml" ds:itemID="{E45334C5-C017-414F-8975-B5C831E29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621A7DD-FECC-4091-840A-C1B0F615B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Douek, Mark</dc:creator>
  <cp:keywords/>
  <dc:description/>
  <cp:lastModifiedBy>Curtis, Michael R CIV OSD OUSD P-R (US)</cp:lastModifiedBy>
  <cp:revision>2</cp:revision>
  <cp:lastPrinted>2014-10-08T16:46:00Z</cp:lastPrinted>
  <dcterms:created xsi:type="dcterms:W3CDTF">2019-08-20T19:38:00Z</dcterms:created>
  <dcterms:modified xsi:type="dcterms:W3CDTF">2019-08-20T19:38:00Z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