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ACEE4B" w14:textId="785D8B50" w:rsidR="00207664" w:rsidRDefault="009C36F4" w:rsidP="00207664">
      <w:pPr>
        <w:pStyle w:val="Heading1"/>
        <w:tabs>
          <w:tab w:val="left" w:pos="6675"/>
        </w:tabs>
        <w:ind w:left="-2160" w:firstLine="180"/>
      </w:pPr>
      <w:bookmarkStart w:id="0" w:name="_GoBack"/>
      <w:bookmarkEnd w:id="0"/>
      <w:r>
        <w:rPr>
          <w:sz w:val="24"/>
        </w:rPr>
        <w:t>Issue</w:t>
      </w:r>
      <w:r w:rsidR="00207664">
        <w:rPr>
          <w:sz w:val="24"/>
        </w:rPr>
        <w:tab/>
      </w:r>
    </w:p>
    <w:p w14:paraId="51FDE77F" w14:textId="27D9E09E" w:rsidR="00170181" w:rsidRPr="007D16BF" w:rsidRDefault="00D0570C" w:rsidP="00170181">
      <w:pPr>
        <w:pStyle w:val="Heading1"/>
        <w:tabs>
          <w:tab w:val="left" w:pos="6675"/>
        </w:tabs>
        <w:ind w:left="-810"/>
        <w:rPr>
          <w:rFonts w:ascii="Garamond" w:hAnsi="Garamond"/>
          <w:bCs w:val="0"/>
          <w:color w:val="auto"/>
          <w:kern w:val="0"/>
          <w:sz w:val="24"/>
          <w:szCs w:val="20"/>
        </w:rPr>
      </w:pPr>
      <w:r>
        <w:rPr>
          <w:rFonts w:ascii="Garamond" w:hAnsi="Garamond"/>
          <w:bCs w:val="0"/>
          <w:color w:val="auto"/>
          <w:kern w:val="0"/>
          <w:sz w:val="24"/>
          <w:szCs w:val="20"/>
        </w:rPr>
        <w:t xml:space="preserve">The Services’ terminology used to define what constitutes an extraordinary item is not consistent and therefore </w:t>
      </w:r>
      <w:r w:rsidR="005F2F0F">
        <w:rPr>
          <w:rFonts w:ascii="Garamond" w:hAnsi="Garamond"/>
          <w:bCs w:val="0"/>
          <w:color w:val="auto"/>
          <w:kern w:val="0"/>
          <w:sz w:val="24"/>
          <w:szCs w:val="20"/>
        </w:rPr>
        <w:t>leads to</w:t>
      </w:r>
      <w:r>
        <w:rPr>
          <w:rFonts w:ascii="Garamond" w:hAnsi="Garamond"/>
          <w:bCs w:val="0"/>
          <w:color w:val="auto"/>
          <w:kern w:val="0"/>
          <w:sz w:val="24"/>
          <w:szCs w:val="20"/>
        </w:rPr>
        <w:t xml:space="preserve"> inconsistent application.</w:t>
      </w:r>
      <w:r w:rsidR="005F2F0F">
        <w:rPr>
          <w:rFonts w:ascii="Garamond" w:hAnsi="Garamond"/>
          <w:bCs w:val="0"/>
          <w:color w:val="auto"/>
          <w:kern w:val="0"/>
          <w:sz w:val="24"/>
          <w:szCs w:val="20"/>
        </w:rPr>
        <w:t xml:space="preserve">  Additionally, the FMR guidance on extraordinary items is not in line with GAAP</w:t>
      </w:r>
      <w:r w:rsidR="00F73C14">
        <w:rPr>
          <w:rFonts w:ascii="Garamond" w:hAnsi="Garamond"/>
          <w:bCs w:val="0"/>
          <w:color w:val="auto"/>
          <w:kern w:val="0"/>
          <w:sz w:val="24"/>
          <w:szCs w:val="20"/>
        </w:rPr>
        <w:t xml:space="preserve">, as GAAP has discontinued usage of </w:t>
      </w:r>
      <w:r w:rsidR="005B00F8">
        <w:rPr>
          <w:rFonts w:ascii="Garamond" w:hAnsi="Garamond"/>
          <w:bCs w:val="0"/>
          <w:color w:val="auto"/>
          <w:kern w:val="0"/>
          <w:sz w:val="24"/>
          <w:szCs w:val="20"/>
        </w:rPr>
        <w:t>the term “</w:t>
      </w:r>
      <w:r w:rsidR="00F73C14">
        <w:rPr>
          <w:rFonts w:ascii="Garamond" w:hAnsi="Garamond"/>
          <w:bCs w:val="0"/>
          <w:color w:val="auto"/>
          <w:kern w:val="0"/>
          <w:sz w:val="24"/>
          <w:szCs w:val="20"/>
        </w:rPr>
        <w:t>extraordinary items</w:t>
      </w:r>
      <w:r w:rsidR="005B00F8">
        <w:rPr>
          <w:rFonts w:ascii="Garamond" w:hAnsi="Garamond"/>
          <w:bCs w:val="0"/>
          <w:color w:val="auto"/>
          <w:kern w:val="0"/>
          <w:sz w:val="24"/>
          <w:szCs w:val="20"/>
        </w:rPr>
        <w:t>,”</w:t>
      </w:r>
      <w:r w:rsidR="00F73C14">
        <w:rPr>
          <w:rFonts w:ascii="Garamond" w:hAnsi="Garamond"/>
          <w:bCs w:val="0"/>
          <w:color w:val="auto"/>
          <w:kern w:val="0"/>
          <w:sz w:val="24"/>
          <w:szCs w:val="20"/>
        </w:rPr>
        <w:t xml:space="preserve"> while the FMR guidance still recognizes extraordinary items</w:t>
      </w:r>
      <w:r w:rsidR="005F2F0F">
        <w:rPr>
          <w:rFonts w:ascii="Garamond" w:hAnsi="Garamond"/>
          <w:bCs w:val="0"/>
          <w:color w:val="auto"/>
          <w:kern w:val="0"/>
          <w:sz w:val="24"/>
          <w:szCs w:val="20"/>
        </w:rPr>
        <w:t xml:space="preserve">.  </w:t>
      </w:r>
    </w:p>
    <w:p w14:paraId="777202BF" w14:textId="77777777" w:rsidR="00207664" w:rsidRDefault="00207664" w:rsidP="00207664">
      <w:pPr>
        <w:pStyle w:val="Heading1"/>
        <w:tabs>
          <w:tab w:val="left" w:pos="6675"/>
        </w:tabs>
        <w:ind w:left="-1710"/>
        <w:rPr>
          <w:rFonts w:ascii="Garamond" w:hAnsi="Garamond"/>
          <w:bCs w:val="0"/>
          <w:color w:val="auto"/>
          <w:kern w:val="0"/>
          <w:sz w:val="24"/>
          <w:szCs w:val="20"/>
        </w:rPr>
      </w:pPr>
    </w:p>
    <w:p w14:paraId="6BE0444F" w14:textId="77777777" w:rsidR="00207664" w:rsidRDefault="00207664" w:rsidP="00207664">
      <w:pPr>
        <w:pStyle w:val="Heading1"/>
        <w:tabs>
          <w:tab w:val="left" w:pos="6675"/>
        </w:tabs>
        <w:ind w:left="-1980"/>
        <w:rPr>
          <w:sz w:val="24"/>
        </w:rPr>
      </w:pPr>
      <w:r>
        <w:rPr>
          <w:sz w:val="24"/>
        </w:rPr>
        <w:t>Research</w:t>
      </w:r>
    </w:p>
    <w:p w14:paraId="1FADC66F" w14:textId="71784830" w:rsidR="00207664" w:rsidRDefault="00207664" w:rsidP="00BC6A0F">
      <w:pPr>
        <w:ind w:left="-810"/>
        <w:rPr>
          <w:sz w:val="24"/>
        </w:rPr>
      </w:pPr>
      <w:r>
        <w:rPr>
          <w:sz w:val="24"/>
        </w:rPr>
        <w:t xml:space="preserve">Below outlines the current treatment </w:t>
      </w:r>
      <w:r w:rsidR="00595A3C">
        <w:rPr>
          <w:sz w:val="24"/>
        </w:rPr>
        <w:t xml:space="preserve">on </w:t>
      </w:r>
      <w:r>
        <w:rPr>
          <w:sz w:val="24"/>
        </w:rPr>
        <w:t>how each service complies and what the regulations, accounting guidance and industry standards are for this area.</w:t>
      </w:r>
    </w:p>
    <w:tbl>
      <w:tblPr>
        <w:tblStyle w:val="LightGrid"/>
        <w:tblpPr w:leftFromText="180" w:rightFromText="180" w:vertAnchor="text" w:horzAnchor="page" w:tblpXSpec="center" w:tblpY="151"/>
        <w:tblW w:w="14670" w:type="dxa"/>
        <w:tblLayout w:type="fixed"/>
        <w:tblLook w:val="04A0" w:firstRow="1" w:lastRow="0" w:firstColumn="1" w:lastColumn="0" w:noHBand="0" w:noVBand="1"/>
      </w:tblPr>
      <w:tblGrid>
        <w:gridCol w:w="7488"/>
        <w:gridCol w:w="1862"/>
        <w:gridCol w:w="1980"/>
        <w:gridCol w:w="1890"/>
        <w:gridCol w:w="1450"/>
      </w:tblGrid>
      <w:tr w:rsidR="00207664" w:rsidRPr="00655FDE" w14:paraId="3F51E2C1" w14:textId="77777777" w:rsidTr="00EF15B9">
        <w:trPr>
          <w:cnfStyle w:val="100000000000" w:firstRow="1" w:lastRow="0" w:firstColumn="0" w:lastColumn="0" w:oddVBand="0" w:evenVBand="0" w:oddHBand="0" w:evenHBand="0" w:firstRowFirstColumn="0" w:firstRowLastColumn="0" w:lastRowFirstColumn="0" w:lastRowLastColumn="0"/>
          <w:trHeight w:val="430"/>
        </w:trPr>
        <w:tc>
          <w:tcPr>
            <w:cnfStyle w:val="001000000000" w:firstRow="0" w:lastRow="0" w:firstColumn="1" w:lastColumn="0" w:oddVBand="0" w:evenVBand="0" w:oddHBand="0" w:evenHBand="0" w:firstRowFirstColumn="0" w:firstRowLastColumn="0" w:lastRowFirstColumn="0" w:lastRowLastColumn="0"/>
            <w:tcW w:w="7488" w:type="dxa"/>
            <w:shd w:val="clear" w:color="auto" w:fill="000000" w:themeFill="text1"/>
          </w:tcPr>
          <w:p w14:paraId="68A243B9" w14:textId="0744FE5D" w:rsidR="00207664" w:rsidRPr="00D952E5" w:rsidRDefault="006F48D8" w:rsidP="00B24115">
            <w:pPr>
              <w:rPr>
                <w:sz w:val="26"/>
                <w:szCs w:val="26"/>
              </w:rPr>
            </w:pPr>
            <w:r>
              <w:rPr>
                <w:sz w:val="26"/>
                <w:szCs w:val="26"/>
              </w:rPr>
              <w:t xml:space="preserve">Classification and Handling of </w:t>
            </w:r>
            <w:r w:rsidR="004C40E9">
              <w:rPr>
                <w:sz w:val="26"/>
                <w:szCs w:val="26"/>
              </w:rPr>
              <w:t>Extraordinary Item</w:t>
            </w:r>
            <w:r w:rsidR="00FA4F39">
              <w:rPr>
                <w:sz w:val="26"/>
                <w:szCs w:val="26"/>
              </w:rPr>
              <w:t>s</w:t>
            </w:r>
            <w:r w:rsidR="00207664">
              <w:rPr>
                <w:sz w:val="26"/>
                <w:szCs w:val="26"/>
              </w:rPr>
              <w:t xml:space="preserve"> Guid</w:t>
            </w:r>
            <w:r>
              <w:rPr>
                <w:sz w:val="26"/>
                <w:szCs w:val="26"/>
              </w:rPr>
              <w:t>ance</w:t>
            </w:r>
          </w:p>
        </w:tc>
        <w:tc>
          <w:tcPr>
            <w:tcW w:w="1862" w:type="dxa"/>
            <w:shd w:val="clear" w:color="auto" w:fill="000000" w:themeFill="text1"/>
          </w:tcPr>
          <w:p w14:paraId="340D0146" w14:textId="77777777" w:rsidR="00207664" w:rsidRPr="00D952E5" w:rsidRDefault="00207664" w:rsidP="00BF4937">
            <w:pPr>
              <w:jc w:val="center"/>
              <w:cnfStyle w:val="100000000000" w:firstRow="1" w:lastRow="0" w:firstColumn="0" w:lastColumn="0" w:oddVBand="0" w:evenVBand="0" w:oddHBand="0" w:evenHBand="0" w:firstRowFirstColumn="0" w:firstRowLastColumn="0" w:lastRowFirstColumn="0" w:lastRowLastColumn="0"/>
              <w:rPr>
                <w:sz w:val="26"/>
                <w:szCs w:val="26"/>
              </w:rPr>
            </w:pPr>
            <w:r w:rsidRPr="00D952E5">
              <w:rPr>
                <w:sz w:val="26"/>
                <w:szCs w:val="26"/>
              </w:rPr>
              <w:t>Air Force</w:t>
            </w:r>
          </w:p>
        </w:tc>
        <w:tc>
          <w:tcPr>
            <w:tcW w:w="1980" w:type="dxa"/>
            <w:shd w:val="clear" w:color="auto" w:fill="000000" w:themeFill="text1"/>
          </w:tcPr>
          <w:p w14:paraId="71F6B7F0" w14:textId="77777777" w:rsidR="00207664" w:rsidRPr="00D952E5" w:rsidRDefault="00207664" w:rsidP="00BF4937">
            <w:pPr>
              <w:jc w:val="center"/>
              <w:cnfStyle w:val="100000000000" w:firstRow="1" w:lastRow="0" w:firstColumn="0" w:lastColumn="0" w:oddVBand="0" w:evenVBand="0" w:oddHBand="0" w:evenHBand="0" w:firstRowFirstColumn="0" w:firstRowLastColumn="0" w:lastRowFirstColumn="0" w:lastRowLastColumn="0"/>
              <w:rPr>
                <w:sz w:val="26"/>
                <w:szCs w:val="26"/>
              </w:rPr>
            </w:pPr>
            <w:r w:rsidRPr="00D952E5">
              <w:rPr>
                <w:sz w:val="26"/>
                <w:szCs w:val="26"/>
              </w:rPr>
              <w:t>Army</w:t>
            </w:r>
          </w:p>
        </w:tc>
        <w:tc>
          <w:tcPr>
            <w:tcW w:w="1890" w:type="dxa"/>
            <w:shd w:val="clear" w:color="auto" w:fill="000000" w:themeFill="text1"/>
          </w:tcPr>
          <w:p w14:paraId="20FB6667" w14:textId="77777777" w:rsidR="00207664" w:rsidRPr="00D952E5" w:rsidRDefault="00207664" w:rsidP="00BF4937">
            <w:pPr>
              <w:jc w:val="center"/>
              <w:cnfStyle w:val="100000000000" w:firstRow="1" w:lastRow="0" w:firstColumn="0" w:lastColumn="0" w:oddVBand="0" w:evenVBand="0" w:oddHBand="0" w:evenHBand="0" w:firstRowFirstColumn="0" w:firstRowLastColumn="0" w:lastRowFirstColumn="0" w:lastRowLastColumn="0"/>
              <w:rPr>
                <w:sz w:val="26"/>
                <w:szCs w:val="26"/>
              </w:rPr>
            </w:pPr>
            <w:r w:rsidRPr="00D952E5">
              <w:rPr>
                <w:sz w:val="26"/>
                <w:szCs w:val="26"/>
              </w:rPr>
              <w:t>Navy</w:t>
            </w:r>
          </w:p>
        </w:tc>
        <w:tc>
          <w:tcPr>
            <w:tcW w:w="1450" w:type="dxa"/>
            <w:shd w:val="clear" w:color="auto" w:fill="000000" w:themeFill="text1"/>
          </w:tcPr>
          <w:p w14:paraId="67944CC4" w14:textId="77777777" w:rsidR="00207664" w:rsidRPr="00D952E5" w:rsidRDefault="00207664" w:rsidP="00BF4937">
            <w:pPr>
              <w:jc w:val="center"/>
              <w:cnfStyle w:val="100000000000" w:firstRow="1" w:lastRow="0" w:firstColumn="0" w:lastColumn="0" w:oddVBand="0" w:evenVBand="0" w:oddHBand="0" w:evenHBand="0" w:firstRowFirstColumn="0" w:firstRowLastColumn="0" w:lastRowFirstColumn="0" w:lastRowLastColumn="0"/>
              <w:rPr>
                <w:sz w:val="26"/>
                <w:szCs w:val="26"/>
              </w:rPr>
            </w:pPr>
            <w:r w:rsidRPr="00D952E5">
              <w:rPr>
                <w:sz w:val="26"/>
                <w:szCs w:val="26"/>
              </w:rPr>
              <w:t>Marines</w:t>
            </w:r>
          </w:p>
        </w:tc>
      </w:tr>
      <w:tr w:rsidR="00527903" w:rsidRPr="00655FDE" w14:paraId="34BF6C59" w14:textId="77777777" w:rsidTr="006C6DA5">
        <w:trPr>
          <w:cnfStyle w:val="000000100000" w:firstRow="0" w:lastRow="0" w:firstColumn="0" w:lastColumn="0" w:oddVBand="0" w:evenVBand="0" w:oddHBand="1" w:evenHBand="0" w:firstRowFirstColumn="0" w:firstRowLastColumn="0" w:lastRowFirstColumn="0" w:lastRowLastColumn="0"/>
          <w:trHeight w:val="508"/>
        </w:trPr>
        <w:tc>
          <w:tcPr>
            <w:cnfStyle w:val="001000000000" w:firstRow="0" w:lastRow="0" w:firstColumn="1" w:lastColumn="0" w:oddVBand="0" w:evenVBand="0" w:oddHBand="0" w:evenHBand="0" w:firstRowFirstColumn="0" w:firstRowLastColumn="0" w:lastRowFirstColumn="0" w:lastRowLastColumn="0"/>
            <w:tcW w:w="7488" w:type="dxa"/>
          </w:tcPr>
          <w:p w14:paraId="5678B4D4" w14:textId="4B83E14C" w:rsidR="00527903" w:rsidRPr="00AE0690" w:rsidRDefault="007251B8" w:rsidP="00FA1B81">
            <w:pPr>
              <w:rPr>
                <w:rFonts w:asciiTheme="minorHAnsi" w:hAnsiTheme="minorHAnsi"/>
                <w:szCs w:val="22"/>
              </w:rPr>
            </w:pPr>
            <w:r w:rsidRPr="00AE0690">
              <w:rPr>
                <w:rFonts w:asciiTheme="minorHAnsi" w:hAnsiTheme="minorHAnsi"/>
                <w:szCs w:val="22"/>
              </w:rPr>
              <w:t>Definition of extraordinary item</w:t>
            </w:r>
          </w:p>
          <w:p w14:paraId="69E4D0F0" w14:textId="4C3B3A0C" w:rsidR="00527903" w:rsidRPr="00AE0690" w:rsidRDefault="00527903" w:rsidP="00FA1B81">
            <w:pPr>
              <w:rPr>
                <w:rFonts w:asciiTheme="minorHAnsi" w:hAnsiTheme="minorHAnsi"/>
                <w:bCs w:val="0"/>
                <w:szCs w:val="22"/>
              </w:rPr>
            </w:pPr>
          </w:p>
          <w:p w14:paraId="6C5D867F" w14:textId="53E6659E" w:rsidR="00527903" w:rsidRPr="00AE0690" w:rsidRDefault="00527903" w:rsidP="00694C06">
            <w:pPr>
              <w:rPr>
                <w:rFonts w:asciiTheme="minorHAnsi" w:hAnsiTheme="minorHAnsi"/>
                <w:szCs w:val="22"/>
              </w:rPr>
            </w:pPr>
          </w:p>
        </w:tc>
        <w:tc>
          <w:tcPr>
            <w:tcW w:w="1862" w:type="dxa"/>
          </w:tcPr>
          <w:p w14:paraId="54796754" w14:textId="3E088D7A" w:rsidR="00C64A0A" w:rsidRPr="00AE0690" w:rsidRDefault="007251B8" w:rsidP="0009111E">
            <w:pPr>
              <w:cnfStyle w:val="000000100000" w:firstRow="0" w:lastRow="0" w:firstColumn="0" w:lastColumn="0" w:oddVBand="0" w:evenVBand="0" w:oddHBand="1" w:evenHBand="0" w:firstRowFirstColumn="0" w:firstRowLastColumn="0" w:lastRowFirstColumn="0" w:lastRowLastColumn="0"/>
              <w:rPr>
                <w:szCs w:val="22"/>
              </w:rPr>
            </w:pPr>
            <w:r w:rsidRPr="00AE0690">
              <w:rPr>
                <w:szCs w:val="22"/>
              </w:rPr>
              <w:t xml:space="preserve">“Extraordinary events and transactions are distinguished by their </w:t>
            </w:r>
            <w:r w:rsidRPr="00AE0690">
              <w:rPr>
                <w:b/>
                <w:szCs w:val="22"/>
              </w:rPr>
              <w:t xml:space="preserve">infrequency </w:t>
            </w:r>
            <w:r w:rsidRPr="00AE0690">
              <w:rPr>
                <w:b/>
                <w:szCs w:val="22"/>
                <w:u w:val="single"/>
              </w:rPr>
              <w:t>and</w:t>
            </w:r>
            <w:r w:rsidRPr="00AE0690">
              <w:rPr>
                <w:b/>
                <w:szCs w:val="22"/>
              </w:rPr>
              <w:t xml:space="preserve"> unusual nature</w:t>
            </w:r>
            <w:r w:rsidRPr="00AE0690">
              <w:rPr>
                <w:szCs w:val="22"/>
              </w:rPr>
              <w:t xml:space="preserve"> and are segregated from the results of ordinary operations.”</w:t>
            </w:r>
          </w:p>
        </w:tc>
        <w:tc>
          <w:tcPr>
            <w:tcW w:w="1980" w:type="dxa"/>
          </w:tcPr>
          <w:p w14:paraId="4116AA8E" w14:textId="4D40B9ED" w:rsidR="0062437E" w:rsidRPr="00AE0690" w:rsidRDefault="00C8489F" w:rsidP="00C8489F">
            <w:pPr>
              <w:cnfStyle w:val="000000100000" w:firstRow="0" w:lastRow="0" w:firstColumn="0" w:lastColumn="0" w:oddVBand="0" w:evenVBand="0" w:oddHBand="1" w:evenHBand="0" w:firstRowFirstColumn="0" w:firstRowLastColumn="0" w:lastRowFirstColumn="0" w:lastRowLastColumn="0"/>
              <w:rPr>
                <w:szCs w:val="22"/>
              </w:rPr>
            </w:pPr>
            <w:r w:rsidRPr="00AE0690">
              <w:rPr>
                <w:szCs w:val="22"/>
              </w:rPr>
              <w:t xml:space="preserve">“THIS ACCOUNT IS USED VERY SELDOM. Record the amount of the income/expense incurred for </w:t>
            </w:r>
            <w:r w:rsidRPr="00AE0690">
              <w:rPr>
                <w:b/>
                <w:szCs w:val="22"/>
              </w:rPr>
              <w:t xml:space="preserve">unusual </w:t>
            </w:r>
            <w:r w:rsidRPr="00AE0690">
              <w:rPr>
                <w:b/>
                <w:szCs w:val="22"/>
                <w:u w:val="single"/>
              </w:rPr>
              <w:t>and</w:t>
            </w:r>
            <w:r w:rsidRPr="00AE0690">
              <w:rPr>
                <w:b/>
                <w:szCs w:val="22"/>
              </w:rPr>
              <w:t xml:space="preserve"> infrequent items</w:t>
            </w:r>
            <w:r w:rsidRPr="00AE0690">
              <w:rPr>
                <w:szCs w:val="22"/>
              </w:rPr>
              <w:t>. Gains/losses must meet the following criteria to be considered extraordinary: material in nature, of a character significantly different from typical NAFI activities, and NOT EXPECTED TO EVER OCCUR AGAIN.</w:t>
            </w:r>
          </w:p>
        </w:tc>
        <w:tc>
          <w:tcPr>
            <w:tcW w:w="1890" w:type="dxa"/>
          </w:tcPr>
          <w:p w14:paraId="3E0C29F4" w14:textId="0D58080C" w:rsidR="00AC7916" w:rsidRPr="00AE0690" w:rsidRDefault="00AC7916" w:rsidP="00AC7916">
            <w:pPr>
              <w:autoSpaceDE w:val="0"/>
              <w:autoSpaceDN w:val="0"/>
              <w:adjustRightInd w:val="0"/>
              <w:cnfStyle w:val="000000100000" w:firstRow="0" w:lastRow="0" w:firstColumn="0" w:lastColumn="0" w:oddVBand="0" w:evenVBand="0" w:oddHBand="1" w:evenHBand="0" w:firstRowFirstColumn="0" w:firstRowLastColumn="0" w:lastRowFirstColumn="0" w:lastRowLastColumn="0"/>
              <w:rPr>
                <w:szCs w:val="22"/>
              </w:rPr>
            </w:pPr>
            <w:r w:rsidRPr="00AE0690">
              <w:rPr>
                <w:szCs w:val="22"/>
              </w:rPr>
              <w:t xml:space="preserve">Reserved for income/expenses resulting from transactions or events of an </w:t>
            </w:r>
            <w:r w:rsidRPr="00AE0690">
              <w:rPr>
                <w:b/>
                <w:szCs w:val="22"/>
              </w:rPr>
              <w:t xml:space="preserve">unusual, nonrecurring, </w:t>
            </w:r>
            <w:r w:rsidRPr="00AE0690">
              <w:rPr>
                <w:b/>
                <w:szCs w:val="22"/>
                <w:u w:val="single"/>
              </w:rPr>
              <w:t>or</w:t>
            </w:r>
            <w:r w:rsidRPr="00AE0690">
              <w:rPr>
                <w:b/>
                <w:szCs w:val="22"/>
              </w:rPr>
              <w:t xml:space="preserve"> extraordinary nature.</w:t>
            </w:r>
          </w:p>
          <w:p w14:paraId="73B24E5A" w14:textId="77777777" w:rsidR="00AC7916" w:rsidRPr="00AE0690" w:rsidRDefault="00AC7916" w:rsidP="00AC7916">
            <w:pPr>
              <w:autoSpaceDE w:val="0"/>
              <w:autoSpaceDN w:val="0"/>
              <w:adjustRightInd w:val="0"/>
              <w:cnfStyle w:val="000000100000" w:firstRow="0" w:lastRow="0" w:firstColumn="0" w:lastColumn="0" w:oddVBand="0" w:evenVBand="0" w:oddHBand="1" w:evenHBand="0" w:firstRowFirstColumn="0" w:firstRowLastColumn="0" w:lastRowFirstColumn="0" w:lastRowLastColumn="0"/>
              <w:rPr>
                <w:szCs w:val="22"/>
              </w:rPr>
            </w:pPr>
            <w:r w:rsidRPr="00AE0690">
              <w:rPr>
                <w:szCs w:val="22"/>
              </w:rPr>
              <w:t xml:space="preserve">(Examples: </w:t>
            </w:r>
            <w:r w:rsidRPr="00AE0690">
              <w:rPr>
                <w:b/>
                <w:szCs w:val="22"/>
              </w:rPr>
              <w:t>losses through theft</w:t>
            </w:r>
            <w:r w:rsidRPr="00AE0690">
              <w:rPr>
                <w:szCs w:val="22"/>
              </w:rPr>
              <w:t>, acts of God</w:t>
            </w:r>
          </w:p>
          <w:p w14:paraId="37456743" w14:textId="77777777" w:rsidR="00FC04AA" w:rsidRPr="00AE0690" w:rsidRDefault="00AC7916" w:rsidP="00AC7916">
            <w:pPr>
              <w:cnfStyle w:val="000000100000" w:firstRow="0" w:lastRow="0" w:firstColumn="0" w:lastColumn="0" w:oddVBand="0" w:evenVBand="0" w:oddHBand="1" w:evenHBand="0" w:firstRowFirstColumn="0" w:firstRowLastColumn="0" w:lastRowFirstColumn="0" w:lastRowLastColumn="0"/>
              <w:rPr>
                <w:szCs w:val="22"/>
              </w:rPr>
            </w:pPr>
            <w:r w:rsidRPr="00AE0690">
              <w:rPr>
                <w:szCs w:val="22"/>
              </w:rPr>
              <w:t>such as fires, tornadoes, hail storms)</w:t>
            </w:r>
          </w:p>
          <w:p w14:paraId="7C9750AD" w14:textId="77777777" w:rsidR="00881083" w:rsidRPr="00AE0690" w:rsidRDefault="00881083" w:rsidP="00AC7916">
            <w:pPr>
              <w:cnfStyle w:val="000000100000" w:firstRow="0" w:lastRow="0" w:firstColumn="0" w:lastColumn="0" w:oddVBand="0" w:evenVBand="0" w:oddHBand="1" w:evenHBand="0" w:firstRowFirstColumn="0" w:firstRowLastColumn="0" w:lastRowFirstColumn="0" w:lastRowLastColumn="0"/>
              <w:rPr>
                <w:szCs w:val="22"/>
              </w:rPr>
            </w:pPr>
          </w:p>
          <w:p w14:paraId="26E92243" w14:textId="77AD8EDB" w:rsidR="00881083" w:rsidRPr="00AE0690" w:rsidRDefault="00881083" w:rsidP="00AC7916">
            <w:pPr>
              <w:cnfStyle w:val="000000100000" w:firstRow="0" w:lastRow="0" w:firstColumn="0" w:lastColumn="0" w:oddVBand="0" w:evenVBand="0" w:oddHBand="1" w:evenHBand="0" w:firstRowFirstColumn="0" w:firstRowLastColumn="0" w:lastRowFirstColumn="0" w:lastRowLastColumn="0"/>
              <w:rPr>
                <w:szCs w:val="22"/>
              </w:rPr>
            </w:pPr>
            <w:r w:rsidRPr="00AE0690">
              <w:rPr>
                <w:szCs w:val="22"/>
              </w:rPr>
              <w:t>Extraordinary income and expenses are rolled up into “Other Expenses.”</w:t>
            </w:r>
          </w:p>
        </w:tc>
        <w:tc>
          <w:tcPr>
            <w:tcW w:w="1450" w:type="dxa"/>
          </w:tcPr>
          <w:p w14:paraId="6C4F0A4A" w14:textId="3FFC584C" w:rsidR="00527903" w:rsidRPr="00AE0690" w:rsidRDefault="0062779E" w:rsidP="0009111E">
            <w:pPr>
              <w:tabs>
                <w:tab w:val="left" w:pos="1408"/>
              </w:tabs>
              <w:cnfStyle w:val="000000100000" w:firstRow="0" w:lastRow="0" w:firstColumn="0" w:lastColumn="0" w:oddVBand="0" w:evenVBand="0" w:oddHBand="1" w:evenHBand="0" w:firstRowFirstColumn="0" w:firstRowLastColumn="0" w:lastRowFirstColumn="0" w:lastRowLastColumn="0"/>
              <w:rPr>
                <w:rFonts w:asciiTheme="minorHAnsi" w:hAnsiTheme="minorHAnsi"/>
                <w:szCs w:val="22"/>
              </w:rPr>
            </w:pPr>
            <w:r w:rsidRPr="00AE0690">
              <w:rPr>
                <w:szCs w:val="22"/>
              </w:rPr>
              <w:t>No definition</w:t>
            </w:r>
          </w:p>
        </w:tc>
      </w:tr>
      <w:tr w:rsidR="00587A87" w:rsidRPr="00655FDE" w14:paraId="15FE1898" w14:textId="77777777" w:rsidTr="006C6DA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488" w:type="dxa"/>
          </w:tcPr>
          <w:p w14:paraId="2EAC637B" w14:textId="6A7DCA67" w:rsidR="00587A87" w:rsidRPr="00AE0690" w:rsidRDefault="00587A87" w:rsidP="009A1390">
            <w:pPr>
              <w:rPr>
                <w:rFonts w:asciiTheme="minorHAnsi" w:hAnsiTheme="minorHAnsi"/>
                <w:szCs w:val="22"/>
              </w:rPr>
            </w:pPr>
            <w:r w:rsidRPr="00AE0690">
              <w:rPr>
                <w:rFonts w:asciiTheme="minorHAnsi" w:hAnsiTheme="minorHAnsi"/>
                <w:szCs w:val="22"/>
              </w:rPr>
              <w:t xml:space="preserve">DoDI </w:t>
            </w:r>
            <w:r w:rsidR="00A14C8D" w:rsidRPr="00AE0690">
              <w:rPr>
                <w:rFonts w:asciiTheme="minorHAnsi" w:hAnsiTheme="minorHAnsi"/>
                <w:szCs w:val="22"/>
              </w:rPr>
              <w:t>1015.15</w:t>
            </w:r>
            <w:r w:rsidRPr="00AE0690">
              <w:rPr>
                <w:rFonts w:asciiTheme="minorHAnsi" w:hAnsiTheme="minorHAnsi"/>
                <w:szCs w:val="22"/>
              </w:rPr>
              <w:t>:</w:t>
            </w:r>
            <w:r w:rsidR="009A1390" w:rsidRPr="00AE0690">
              <w:rPr>
                <w:rFonts w:asciiTheme="minorHAnsi" w:hAnsiTheme="minorHAnsi"/>
                <w:szCs w:val="22"/>
              </w:rPr>
              <w:t xml:space="preserve"> </w:t>
            </w:r>
            <w:r w:rsidR="004845EF" w:rsidRPr="00AE0690">
              <w:rPr>
                <w:b w:val="0"/>
                <w:szCs w:val="22"/>
              </w:rPr>
              <w:t xml:space="preserve">Extraordinary income or expense shall be shown in the financial statements separately from ordinary operations and shall be footnoted.  </w:t>
            </w:r>
            <w:r w:rsidR="004845EF" w:rsidRPr="00AE0690">
              <w:rPr>
                <w:szCs w:val="22"/>
              </w:rPr>
              <w:t xml:space="preserve">NAF </w:t>
            </w:r>
            <w:r w:rsidR="004845EF" w:rsidRPr="00AE0690">
              <w:rPr>
                <w:szCs w:val="22"/>
              </w:rPr>
              <w:lastRenderedPageBreak/>
              <w:t>expenses from Base Realignment and Closure (BRAC) and installation closure actions are authorized extraordinary expense items</w:t>
            </w:r>
            <w:r w:rsidR="004845EF" w:rsidRPr="00AE0690">
              <w:rPr>
                <w:b w:val="0"/>
                <w:szCs w:val="22"/>
              </w:rPr>
              <w:t>.</w:t>
            </w:r>
          </w:p>
        </w:tc>
        <w:tc>
          <w:tcPr>
            <w:tcW w:w="1862" w:type="dxa"/>
          </w:tcPr>
          <w:p w14:paraId="267134A9" w14:textId="4F721259" w:rsidR="00587A87" w:rsidRPr="00AE0690" w:rsidRDefault="00B80A4C" w:rsidP="00240F67">
            <w:pPr>
              <w:cnfStyle w:val="000000010000" w:firstRow="0" w:lastRow="0" w:firstColumn="0" w:lastColumn="0" w:oddVBand="0" w:evenVBand="0" w:oddHBand="0" w:evenHBand="1" w:firstRowFirstColumn="0" w:firstRowLastColumn="0" w:lastRowFirstColumn="0" w:lastRowLastColumn="0"/>
              <w:rPr>
                <w:rFonts w:asciiTheme="minorHAnsi" w:hAnsiTheme="minorHAnsi"/>
                <w:color w:val="FF0000"/>
                <w:szCs w:val="22"/>
              </w:rPr>
            </w:pPr>
            <w:r w:rsidRPr="00AE0690">
              <w:rPr>
                <w:szCs w:val="22"/>
              </w:rPr>
              <w:lastRenderedPageBreak/>
              <w:t xml:space="preserve">Follows </w:t>
            </w:r>
            <w:r w:rsidR="00240F67" w:rsidRPr="00AE0690">
              <w:rPr>
                <w:szCs w:val="22"/>
              </w:rPr>
              <w:t>alternative</w:t>
            </w:r>
            <w:r w:rsidRPr="00AE0690">
              <w:rPr>
                <w:szCs w:val="22"/>
              </w:rPr>
              <w:t xml:space="preserve"> guidance</w:t>
            </w:r>
          </w:p>
        </w:tc>
        <w:tc>
          <w:tcPr>
            <w:tcW w:w="1980" w:type="dxa"/>
          </w:tcPr>
          <w:p w14:paraId="5FFDFC1A" w14:textId="224FB6E5" w:rsidR="00587A87" w:rsidRPr="00AE0690" w:rsidRDefault="00D3040F" w:rsidP="00587A87">
            <w:pPr>
              <w:cnfStyle w:val="000000010000" w:firstRow="0" w:lastRow="0" w:firstColumn="0" w:lastColumn="0" w:oddVBand="0" w:evenVBand="0" w:oddHBand="0" w:evenHBand="1" w:firstRowFirstColumn="0" w:firstRowLastColumn="0" w:lastRowFirstColumn="0" w:lastRowLastColumn="0"/>
              <w:rPr>
                <w:rFonts w:asciiTheme="minorHAnsi" w:hAnsiTheme="minorHAnsi"/>
                <w:color w:val="FF0000"/>
                <w:szCs w:val="22"/>
              </w:rPr>
            </w:pPr>
            <w:r w:rsidRPr="00AE0690">
              <w:rPr>
                <w:szCs w:val="22"/>
              </w:rPr>
              <w:t>Follows current guidance</w:t>
            </w:r>
          </w:p>
        </w:tc>
        <w:tc>
          <w:tcPr>
            <w:tcW w:w="1890" w:type="dxa"/>
          </w:tcPr>
          <w:p w14:paraId="2DBD60F1" w14:textId="150968B2" w:rsidR="00587A87" w:rsidRPr="00AE0690" w:rsidRDefault="00EC7132" w:rsidP="00587A87">
            <w:pPr>
              <w:cnfStyle w:val="000000010000" w:firstRow="0" w:lastRow="0" w:firstColumn="0" w:lastColumn="0" w:oddVBand="0" w:evenVBand="0" w:oddHBand="0" w:evenHBand="1" w:firstRowFirstColumn="0" w:firstRowLastColumn="0" w:lastRowFirstColumn="0" w:lastRowLastColumn="0"/>
              <w:rPr>
                <w:rFonts w:asciiTheme="minorHAnsi" w:hAnsiTheme="minorHAnsi"/>
                <w:color w:val="FF0000"/>
                <w:szCs w:val="22"/>
              </w:rPr>
            </w:pPr>
            <w:r w:rsidRPr="00AE0690">
              <w:rPr>
                <w:szCs w:val="22"/>
              </w:rPr>
              <w:t>Follows alternative guidance</w:t>
            </w:r>
          </w:p>
        </w:tc>
        <w:tc>
          <w:tcPr>
            <w:tcW w:w="1450" w:type="dxa"/>
          </w:tcPr>
          <w:p w14:paraId="553CBBD1" w14:textId="741C0828" w:rsidR="00587A87" w:rsidRPr="00AE0690" w:rsidRDefault="001E1DAE" w:rsidP="00587A87">
            <w:pPr>
              <w:cnfStyle w:val="000000010000" w:firstRow="0" w:lastRow="0" w:firstColumn="0" w:lastColumn="0" w:oddVBand="0" w:evenVBand="0" w:oddHBand="0" w:evenHBand="1" w:firstRowFirstColumn="0" w:firstRowLastColumn="0" w:lastRowFirstColumn="0" w:lastRowLastColumn="0"/>
              <w:rPr>
                <w:rFonts w:asciiTheme="minorHAnsi" w:hAnsiTheme="minorHAnsi"/>
                <w:color w:val="FF0000"/>
                <w:szCs w:val="22"/>
              </w:rPr>
            </w:pPr>
            <w:r w:rsidRPr="00AE0690">
              <w:rPr>
                <w:szCs w:val="22"/>
              </w:rPr>
              <w:t>N/A</w:t>
            </w:r>
          </w:p>
        </w:tc>
      </w:tr>
      <w:tr w:rsidR="00527903" w:rsidRPr="00655FDE" w14:paraId="65911FF3" w14:textId="77777777" w:rsidTr="006C6D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488" w:type="dxa"/>
          </w:tcPr>
          <w:p w14:paraId="502550EC" w14:textId="093A2F5C" w:rsidR="004845EF" w:rsidRPr="00AE0690" w:rsidRDefault="00527903" w:rsidP="00CE3DF5">
            <w:pPr>
              <w:rPr>
                <w:rFonts w:asciiTheme="minorHAnsi" w:hAnsiTheme="minorHAnsi"/>
                <w:szCs w:val="22"/>
              </w:rPr>
            </w:pPr>
            <w:r w:rsidRPr="00AE0690">
              <w:rPr>
                <w:rFonts w:asciiTheme="minorHAnsi" w:hAnsiTheme="minorHAnsi"/>
                <w:szCs w:val="22"/>
              </w:rPr>
              <w:t>FMR Volume 13</w:t>
            </w:r>
            <w:r w:rsidR="00AE0690" w:rsidRPr="00AE0690">
              <w:rPr>
                <w:rFonts w:asciiTheme="minorHAnsi" w:hAnsiTheme="minorHAnsi"/>
                <w:szCs w:val="22"/>
              </w:rPr>
              <w:t xml:space="preserve">, Chapter </w:t>
            </w:r>
            <w:r w:rsidR="00584041">
              <w:rPr>
                <w:rFonts w:asciiTheme="minorHAnsi" w:hAnsiTheme="minorHAnsi"/>
                <w:szCs w:val="22"/>
              </w:rPr>
              <w:t>7</w:t>
            </w:r>
            <w:r w:rsidR="00D97C94">
              <w:rPr>
                <w:rFonts w:asciiTheme="minorHAnsi" w:hAnsiTheme="minorHAnsi"/>
                <w:szCs w:val="22"/>
              </w:rPr>
              <w:t xml:space="preserve">. 070803. M, Extraordinary </w:t>
            </w:r>
            <w:r w:rsidR="00584041">
              <w:rPr>
                <w:rFonts w:asciiTheme="minorHAnsi" w:hAnsiTheme="minorHAnsi"/>
                <w:szCs w:val="22"/>
              </w:rPr>
              <w:t>Income, Line 13</w:t>
            </w:r>
            <w:r w:rsidR="009A1390" w:rsidRPr="00AE0690">
              <w:rPr>
                <w:rFonts w:asciiTheme="minorHAnsi" w:hAnsiTheme="minorHAnsi"/>
                <w:szCs w:val="22"/>
              </w:rPr>
              <w:t xml:space="preserve">: </w:t>
            </w:r>
            <w:r w:rsidR="004845EF" w:rsidRPr="00AE0690">
              <w:rPr>
                <w:b w:val="0"/>
                <w:szCs w:val="22"/>
              </w:rPr>
              <w:t xml:space="preserve">Extraordinary </w:t>
            </w:r>
            <w:r w:rsidR="00584041">
              <w:rPr>
                <w:b w:val="0"/>
                <w:szCs w:val="22"/>
              </w:rPr>
              <w:t>income is income that is</w:t>
            </w:r>
            <w:r w:rsidR="004845EF" w:rsidRPr="00AE0690">
              <w:rPr>
                <w:szCs w:val="22"/>
              </w:rPr>
              <w:t xml:space="preserve"> unusual </w:t>
            </w:r>
            <w:r w:rsidR="00362065">
              <w:rPr>
                <w:szCs w:val="22"/>
              </w:rPr>
              <w:t xml:space="preserve">and infrequent </w:t>
            </w:r>
            <w:r w:rsidR="00584041">
              <w:rPr>
                <w:szCs w:val="22"/>
              </w:rPr>
              <w:t>and requires</w:t>
            </w:r>
            <w:r w:rsidR="004845EF" w:rsidRPr="00AE0690">
              <w:rPr>
                <w:b w:val="0"/>
                <w:szCs w:val="22"/>
              </w:rPr>
              <w:t xml:space="preserve"> special treatment in the accounts or separate disclosure in </w:t>
            </w:r>
            <w:r w:rsidR="00584041">
              <w:rPr>
                <w:b w:val="0"/>
                <w:szCs w:val="22"/>
              </w:rPr>
              <w:t xml:space="preserve">the </w:t>
            </w:r>
            <w:r w:rsidR="004845EF" w:rsidRPr="00AE0690">
              <w:rPr>
                <w:b w:val="0"/>
                <w:szCs w:val="22"/>
              </w:rPr>
              <w:t xml:space="preserve">financial statements. </w:t>
            </w:r>
            <w:r w:rsidR="00584041">
              <w:rPr>
                <w:b w:val="0"/>
                <w:szCs w:val="22"/>
              </w:rPr>
              <w:t>Report the balance for extraordinary income</w:t>
            </w:r>
            <w:r w:rsidR="00584041" w:rsidRPr="00AE0690" w:rsidDel="00584041">
              <w:rPr>
                <w:b w:val="0"/>
                <w:szCs w:val="22"/>
              </w:rPr>
              <w:t xml:space="preserve"> </w:t>
            </w:r>
          </w:p>
          <w:p w14:paraId="033AED6D" w14:textId="77777777" w:rsidR="00527903" w:rsidRPr="00AE0690" w:rsidRDefault="00527903" w:rsidP="00BF3E1F">
            <w:pPr>
              <w:rPr>
                <w:rFonts w:asciiTheme="minorHAnsi" w:hAnsiTheme="minorHAnsi"/>
                <w:b w:val="0"/>
                <w:szCs w:val="22"/>
              </w:rPr>
            </w:pPr>
          </w:p>
          <w:p w14:paraId="28F3CB8D" w14:textId="4219F727" w:rsidR="00BD275B" w:rsidRPr="00AE0690" w:rsidRDefault="00AE0690" w:rsidP="00980383">
            <w:pPr>
              <w:rPr>
                <w:rFonts w:asciiTheme="minorHAnsi" w:hAnsiTheme="minorHAnsi"/>
                <w:b w:val="0"/>
                <w:szCs w:val="22"/>
              </w:rPr>
            </w:pPr>
            <w:r w:rsidRPr="00AE0690">
              <w:rPr>
                <w:szCs w:val="22"/>
              </w:rPr>
              <w:t xml:space="preserve">FMR Volume 13, Chapter </w:t>
            </w:r>
            <w:r w:rsidR="00584041">
              <w:rPr>
                <w:szCs w:val="22"/>
              </w:rPr>
              <w:t>7. 070803. N. Extraordinary Expenses (Schedule A), Line 14</w:t>
            </w:r>
            <w:r w:rsidRPr="00AE0690">
              <w:rPr>
                <w:szCs w:val="22"/>
              </w:rPr>
              <w:t>:</w:t>
            </w:r>
            <w:r w:rsidRPr="00AE0690">
              <w:rPr>
                <w:b w:val="0"/>
                <w:szCs w:val="22"/>
              </w:rPr>
              <w:t xml:space="preserve"> </w:t>
            </w:r>
            <w:r w:rsidRPr="00AE0690">
              <w:rPr>
                <w:rFonts w:ascii="Times New Roman" w:eastAsia="Times New Roman" w:hAnsi="Times New Roman" w:cs="Times New Roman"/>
                <w:b w:val="0"/>
                <w:bCs w:val="0"/>
                <w:color w:val="000000"/>
                <w:szCs w:val="22"/>
              </w:rPr>
              <w:t xml:space="preserve"> </w:t>
            </w:r>
            <w:r w:rsidRPr="00AE0690">
              <w:rPr>
                <w:b w:val="0"/>
                <w:szCs w:val="22"/>
              </w:rPr>
              <w:t xml:space="preserve">Extraordinary expenses are </w:t>
            </w:r>
            <w:r w:rsidR="00584041">
              <w:rPr>
                <w:b w:val="0"/>
                <w:szCs w:val="22"/>
              </w:rPr>
              <w:t xml:space="preserve">expenses that are </w:t>
            </w:r>
            <w:r w:rsidRPr="00AE0690">
              <w:rPr>
                <w:szCs w:val="22"/>
              </w:rPr>
              <w:t>unusual and infrequent</w:t>
            </w:r>
            <w:r w:rsidR="00584041">
              <w:rPr>
                <w:szCs w:val="22"/>
              </w:rPr>
              <w:t xml:space="preserve"> and require special treatment</w:t>
            </w:r>
            <w:r w:rsidR="00980383">
              <w:rPr>
                <w:szCs w:val="22"/>
              </w:rPr>
              <w:t xml:space="preserve"> in the accounts or separate disclosure in the financial statements</w:t>
            </w:r>
            <w:r w:rsidRPr="00AE0690">
              <w:rPr>
                <w:b w:val="0"/>
                <w:szCs w:val="22"/>
              </w:rPr>
              <w:t>.</w:t>
            </w:r>
            <w:r w:rsidR="00980383">
              <w:rPr>
                <w:b w:val="0"/>
                <w:szCs w:val="22"/>
              </w:rPr>
              <w:t xml:space="preserve"> Report the balances for extraordinary expenses and base realignment and closure (BRAC) and installation closure expenses.</w:t>
            </w:r>
            <w:r w:rsidRPr="00AE0690">
              <w:rPr>
                <w:b w:val="0"/>
                <w:szCs w:val="22"/>
              </w:rPr>
              <w:t xml:space="preserve"> </w:t>
            </w:r>
          </w:p>
        </w:tc>
        <w:tc>
          <w:tcPr>
            <w:tcW w:w="1862" w:type="dxa"/>
          </w:tcPr>
          <w:p w14:paraId="2BD49F04" w14:textId="18EC3FE5" w:rsidR="00527903" w:rsidRPr="00AE0690" w:rsidRDefault="0095550A" w:rsidP="00BF4937">
            <w:pPr>
              <w:cnfStyle w:val="000000100000" w:firstRow="0" w:lastRow="0" w:firstColumn="0" w:lastColumn="0" w:oddVBand="0" w:evenVBand="0" w:oddHBand="1" w:evenHBand="0" w:firstRowFirstColumn="0" w:firstRowLastColumn="0" w:lastRowFirstColumn="0" w:lastRowLastColumn="0"/>
              <w:rPr>
                <w:rFonts w:asciiTheme="minorHAnsi" w:hAnsiTheme="minorHAnsi"/>
                <w:color w:val="FF0000"/>
                <w:szCs w:val="22"/>
              </w:rPr>
            </w:pPr>
            <w:r w:rsidRPr="00AE0690">
              <w:rPr>
                <w:szCs w:val="22"/>
              </w:rPr>
              <w:t>Follows alternative guidance</w:t>
            </w:r>
          </w:p>
        </w:tc>
        <w:tc>
          <w:tcPr>
            <w:tcW w:w="1980" w:type="dxa"/>
          </w:tcPr>
          <w:p w14:paraId="16E52F2D" w14:textId="753EBCAA" w:rsidR="00527903" w:rsidRPr="00AE0690" w:rsidRDefault="0095550A" w:rsidP="00654240">
            <w:pPr>
              <w:cnfStyle w:val="000000100000" w:firstRow="0" w:lastRow="0" w:firstColumn="0" w:lastColumn="0" w:oddVBand="0" w:evenVBand="0" w:oddHBand="1" w:evenHBand="0" w:firstRowFirstColumn="0" w:firstRowLastColumn="0" w:lastRowFirstColumn="0" w:lastRowLastColumn="0"/>
              <w:rPr>
                <w:rFonts w:asciiTheme="minorHAnsi" w:hAnsiTheme="minorHAnsi"/>
                <w:color w:val="FF0000"/>
                <w:szCs w:val="22"/>
              </w:rPr>
            </w:pPr>
            <w:r w:rsidRPr="00AE0690">
              <w:rPr>
                <w:szCs w:val="22"/>
              </w:rPr>
              <w:t>Follows current guidance</w:t>
            </w:r>
          </w:p>
        </w:tc>
        <w:tc>
          <w:tcPr>
            <w:tcW w:w="1890" w:type="dxa"/>
          </w:tcPr>
          <w:p w14:paraId="0D6844DC" w14:textId="4643887F" w:rsidR="00527903" w:rsidRPr="00AE0690" w:rsidRDefault="0095550A" w:rsidP="0095550A">
            <w:pPr>
              <w:cnfStyle w:val="000000100000" w:firstRow="0" w:lastRow="0" w:firstColumn="0" w:lastColumn="0" w:oddVBand="0" w:evenVBand="0" w:oddHBand="1" w:evenHBand="0" w:firstRowFirstColumn="0" w:firstRowLastColumn="0" w:lastRowFirstColumn="0" w:lastRowLastColumn="0"/>
              <w:rPr>
                <w:rFonts w:asciiTheme="minorHAnsi" w:hAnsiTheme="minorHAnsi"/>
                <w:szCs w:val="22"/>
              </w:rPr>
            </w:pPr>
            <w:r w:rsidRPr="00AE0690">
              <w:rPr>
                <w:szCs w:val="22"/>
              </w:rPr>
              <w:t>Follows alternative guidance</w:t>
            </w:r>
          </w:p>
        </w:tc>
        <w:tc>
          <w:tcPr>
            <w:tcW w:w="1450" w:type="dxa"/>
          </w:tcPr>
          <w:p w14:paraId="15B54127" w14:textId="3AE7FDB6" w:rsidR="00527903" w:rsidRPr="00AE0690" w:rsidRDefault="001E1DAE" w:rsidP="00654240">
            <w:pPr>
              <w:cnfStyle w:val="000000100000" w:firstRow="0" w:lastRow="0" w:firstColumn="0" w:lastColumn="0" w:oddVBand="0" w:evenVBand="0" w:oddHBand="1" w:evenHBand="0" w:firstRowFirstColumn="0" w:firstRowLastColumn="0" w:lastRowFirstColumn="0" w:lastRowLastColumn="0"/>
              <w:rPr>
                <w:rFonts w:asciiTheme="minorHAnsi" w:hAnsiTheme="minorHAnsi"/>
                <w:color w:val="FF0000"/>
                <w:szCs w:val="22"/>
              </w:rPr>
            </w:pPr>
            <w:r w:rsidRPr="00AE0690">
              <w:rPr>
                <w:szCs w:val="22"/>
              </w:rPr>
              <w:t>N/A</w:t>
            </w:r>
          </w:p>
        </w:tc>
      </w:tr>
      <w:tr w:rsidR="00527903" w:rsidRPr="00655FDE" w14:paraId="250F7CC1" w14:textId="77777777" w:rsidTr="00F73C14">
        <w:trPr>
          <w:cnfStyle w:val="000000010000" w:firstRow="0" w:lastRow="0" w:firstColumn="0" w:lastColumn="0" w:oddVBand="0" w:evenVBand="0" w:oddHBand="0" w:evenHBand="1" w:firstRowFirstColumn="0" w:firstRowLastColumn="0" w:lastRowFirstColumn="0" w:lastRowLastColumn="0"/>
          <w:trHeight w:val="2569"/>
        </w:trPr>
        <w:tc>
          <w:tcPr>
            <w:cnfStyle w:val="001000000000" w:firstRow="0" w:lastRow="0" w:firstColumn="1" w:lastColumn="0" w:oddVBand="0" w:evenVBand="0" w:oddHBand="0" w:evenHBand="0" w:firstRowFirstColumn="0" w:firstRowLastColumn="0" w:lastRowFirstColumn="0" w:lastRowLastColumn="0"/>
            <w:tcW w:w="7488" w:type="dxa"/>
          </w:tcPr>
          <w:p w14:paraId="43329670" w14:textId="77777777" w:rsidR="00751A2A" w:rsidRPr="00AE0690" w:rsidRDefault="00684A95" w:rsidP="00696680">
            <w:pPr>
              <w:rPr>
                <w:szCs w:val="22"/>
              </w:rPr>
            </w:pPr>
            <w:r w:rsidRPr="00AE0690">
              <w:rPr>
                <w:rFonts w:asciiTheme="minorHAnsi" w:hAnsiTheme="minorHAnsi"/>
                <w:szCs w:val="22"/>
              </w:rPr>
              <w:t>GAAP: FASB</w:t>
            </w:r>
            <w:r w:rsidR="00B80A4C" w:rsidRPr="00AE0690">
              <w:rPr>
                <w:rFonts w:asciiTheme="minorHAnsi" w:hAnsiTheme="minorHAnsi"/>
                <w:szCs w:val="22"/>
              </w:rPr>
              <w:t xml:space="preserve"> Codification</w:t>
            </w:r>
            <w:r w:rsidRPr="00AE0690">
              <w:rPr>
                <w:rFonts w:asciiTheme="minorHAnsi" w:hAnsiTheme="minorHAnsi"/>
                <w:szCs w:val="22"/>
              </w:rPr>
              <w:t xml:space="preserve"> </w:t>
            </w:r>
            <w:r w:rsidR="00B80A4C" w:rsidRPr="00AE0690">
              <w:rPr>
                <w:rFonts w:asciiTheme="minorHAnsi" w:hAnsiTheme="minorHAnsi"/>
                <w:szCs w:val="22"/>
              </w:rPr>
              <w:t>(Extraordinary Items)</w:t>
            </w:r>
            <w:r w:rsidR="009A1390" w:rsidRPr="00AE0690">
              <w:rPr>
                <w:rFonts w:asciiTheme="minorHAnsi" w:hAnsiTheme="minorHAnsi"/>
                <w:szCs w:val="22"/>
              </w:rPr>
              <w:t xml:space="preserve">: </w:t>
            </w:r>
            <w:r w:rsidR="008A49CF" w:rsidRPr="00AE0690">
              <w:rPr>
                <w:szCs w:val="22"/>
              </w:rPr>
              <w:t xml:space="preserve">FASB Accounting Standards Update No. 2015-01: </w:t>
            </w:r>
          </w:p>
          <w:p w14:paraId="2689E49B" w14:textId="77777777" w:rsidR="00751A2A" w:rsidRPr="00AE0690" w:rsidRDefault="00751A2A" w:rsidP="00696680">
            <w:pPr>
              <w:rPr>
                <w:b w:val="0"/>
                <w:szCs w:val="22"/>
              </w:rPr>
            </w:pPr>
          </w:p>
          <w:p w14:paraId="64F47921" w14:textId="1313E11C" w:rsidR="006F73BD" w:rsidRPr="00AE0690" w:rsidRDefault="008A49CF" w:rsidP="00696680">
            <w:pPr>
              <w:rPr>
                <w:b w:val="0"/>
                <w:szCs w:val="22"/>
              </w:rPr>
            </w:pPr>
            <w:r w:rsidRPr="00D2689D">
              <w:rPr>
                <w:szCs w:val="22"/>
              </w:rPr>
              <w:t>Eliminates from GAAP the concept of extraordinary items</w:t>
            </w:r>
            <w:r w:rsidRPr="00AE0690">
              <w:rPr>
                <w:b w:val="0"/>
                <w:szCs w:val="22"/>
              </w:rPr>
              <w:t>. The Board concluded that the amendments in this Update will not result in a loss of information because although the amendments will eliminate requirements in Subtopic 225-20 for reporting entities to consider whether an underlying event or transaction is extraordinary, the presentation and disclosure guidance for items that are unusual in nature or occur infrequently will be retained and will be expanded to include items that are both unusual in na</w:t>
            </w:r>
            <w:r w:rsidR="00696680" w:rsidRPr="00AE0690">
              <w:rPr>
                <w:b w:val="0"/>
                <w:szCs w:val="22"/>
              </w:rPr>
              <w:t>ture and infrequently occurring.</w:t>
            </w:r>
          </w:p>
          <w:p w14:paraId="11D7C626" w14:textId="77777777" w:rsidR="00D306A5" w:rsidRPr="00AE0690" w:rsidRDefault="00D306A5" w:rsidP="00696680">
            <w:pPr>
              <w:rPr>
                <w:b w:val="0"/>
                <w:szCs w:val="22"/>
              </w:rPr>
            </w:pPr>
          </w:p>
          <w:p w14:paraId="50BFC30F" w14:textId="1130A0B6" w:rsidR="00D306A5" w:rsidRPr="00AE0690" w:rsidRDefault="00D306A5" w:rsidP="00D306A5">
            <w:pPr>
              <w:pStyle w:val="armleftmargin000"/>
              <w:rPr>
                <w:rFonts w:ascii="Garamond" w:hAnsi="Garamond" w:cs="Arial"/>
                <w:b w:val="0"/>
                <w:sz w:val="22"/>
                <w:szCs w:val="22"/>
              </w:rPr>
            </w:pPr>
            <w:r w:rsidRPr="00AE0690">
              <w:rPr>
                <w:rFonts w:ascii="Garamond" w:hAnsi="Garamond" w:cs="Arial"/>
                <w:b w:val="0"/>
                <w:sz w:val="22"/>
                <w:szCs w:val="22"/>
              </w:rPr>
              <w:t xml:space="preserve">GAAP 225.20 </w:t>
            </w:r>
            <w:r w:rsidR="00D2689D" w:rsidRPr="00AE0690">
              <w:rPr>
                <w:rFonts w:ascii="Garamond" w:hAnsi="Garamond" w:cs="Arial"/>
                <w:b w:val="0"/>
                <w:sz w:val="22"/>
                <w:szCs w:val="22"/>
              </w:rPr>
              <w:t>addresses</w:t>
            </w:r>
            <w:r w:rsidRPr="00AE0690">
              <w:rPr>
                <w:rFonts w:ascii="Garamond" w:hAnsi="Garamond" w:cs="Arial"/>
                <w:b w:val="0"/>
                <w:sz w:val="22"/>
                <w:szCs w:val="22"/>
              </w:rPr>
              <w:t xml:space="preserve"> the Income statement disclosure of events that are defined as unusual and/or infrequent.</w:t>
            </w:r>
          </w:p>
          <w:p w14:paraId="26E37588" w14:textId="11D74300" w:rsidR="00D306A5" w:rsidRPr="00AE0690" w:rsidRDefault="00D306A5" w:rsidP="00D306A5">
            <w:pPr>
              <w:pStyle w:val="armleftmargin000"/>
              <w:rPr>
                <w:rFonts w:ascii="Garamond" w:hAnsi="Garamond" w:cs="Arial"/>
                <w:b w:val="0"/>
                <w:sz w:val="22"/>
                <w:szCs w:val="22"/>
              </w:rPr>
            </w:pPr>
            <w:r w:rsidRPr="00AE0690">
              <w:rPr>
                <w:rFonts w:ascii="Garamond" w:hAnsi="Garamond" w:cs="Arial"/>
                <w:b w:val="0"/>
                <w:sz w:val="22"/>
                <w:szCs w:val="22"/>
              </w:rPr>
              <w:t xml:space="preserve"> “A material event or transaction that is considered to be of an unusual nature or of a type that indicates infrequency of occurrence or both should be reported as a separate component of income from continuing operations. The nature and financial effects of each event or transaction should be presented as a separate component of income from continuing operations or, alternatively, disclosed in the notes to financial statements. Gains or losses of a similar nature that are not individually material should be aggregated. Such </w:t>
            </w:r>
            <w:bookmarkStart w:id="1" w:name="6E78C451992D8B6C86257578006C6535-wkhl2"/>
            <w:bookmarkEnd w:id="1"/>
            <w:r w:rsidRPr="00AE0690">
              <w:rPr>
                <w:rFonts w:ascii="Garamond" w:hAnsi="Garamond" w:cs="Arial"/>
                <w:b w:val="0"/>
                <w:sz w:val="22"/>
                <w:szCs w:val="22"/>
              </w:rPr>
              <w:t xml:space="preserve">items should not be reported on the face of the income statement net of income taxes. Similarly, the EPS effects of those items should not be presented on the face of the income statement. </w:t>
            </w:r>
          </w:p>
          <w:p w14:paraId="7F20ACA8" w14:textId="77777777" w:rsidR="00D306A5" w:rsidRPr="00AE0690" w:rsidRDefault="00D306A5" w:rsidP="00D306A5">
            <w:pPr>
              <w:pStyle w:val="armleftmargin000"/>
              <w:rPr>
                <w:rFonts w:ascii="Garamond" w:hAnsi="Garamond" w:cs="Arial"/>
                <w:b w:val="0"/>
                <w:sz w:val="22"/>
                <w:szCs w:val="22"/>
              </w:rPr>
            </w:pPr>
            <w:r w:rsidRPr="00D2689D">
              <w:rPr>
                <w:rFonts w:ascii="Garamond" w:hAnsi="Garamond" w:cs="Arial"/>
                <w:sz w:val="22"/>
                <w:szCs w:val="22"/>
              </w:rPr>
              <w:lastRenderedPageBreak/>
              <w:t>Certain items that are so large in size or so unusual in nature should be reported separately as unusual. Unusual items should be designated as such and presented separately as part of income from continuing operations on the income statement</w:t>
            </w:r>
            <w:r w:rsidRPr="00AE0690">
              <w:rPr>
                <w:rFonts w:ascii="Garamond" w:hAnsi="Garamond" w:cs="Arial"/>
                <w:b w:val="0"/>
                <w:sz w:val="22"/>
                <w:szCs w:val="22"/>
              </w:rPr>
              <w:t xml:space="preserve">. The nature and financial effects of each unusual </w:t>
            </w:r>
            <w:r w:rsidRPr="00AE0690">
              <w:rPr>
                <w:rFonts w:ascii="Garamond" w:hAnsi="Garamond" w:cs="Arial"/>
                <w:sz w:val="22"/>
                <w:szCs w:val="22"/>
              </w:rPr>
              <w:t>item</w:t>
            </w:r>
            <w:r w:rsidRPr="00AE0690">
              <w:rPr>
                <w:rFonts w:ascii="Garamond" w:hAnsi="Garamond" w:cs="Arial"/>
                <w:b w:val="0"/>
                <w:sz w:val="22"/>
                <w:szCs w:val="22"/>
              </w:rPr>
              <w:t xml:space="preserve"> should be disclosed, either on the face of the income statement or in the notes to the financial statements. The earnings per share effects of unusual </w:t>
            </w:r>
            <w:r w:rsidRPr="00AE0690">
              <w:rPr>
                <w:rFonts w:ascii="Garamond" w:hAnsi="Garamond" w:cs="Arial"/>
                <w:sz w:val="22"/>
                <w:szCs w:val="22"/>
              </w:rPr>
              <w:t>items</w:t>
            </w:r>
            <w:r w:rsidRPr="00AE0690">
              <w:rPr>
                <w:rFonts w:ascii="Garamond" w:hAnsi="Garamond" w:cs="Arial"/>
                <w:b w:val="0"/>
                <w:sz w:val="22"/>
                <w:szCs w:val="22"/>
              </w:rPr>
              <w:t xml:space="preserve"> are not to be presented on the face of the income statement. </w:t>
            </w:r>
          </w:p>
          <w:p w14:paraId="238CA976" w14:textId="77777777" w:rsidR="00D306A5" w:rsidRPr="00AE0690" w:rsidRDefault="00D306A5" w:rsidP="00D306A5">
            <w:pPr>
              <w:pStyle w:val="armleftmargin000"/>
              <w:rPr>
                <w:rFonts w:ascii="Garamond" w:hAnsi="Garamond" w:cs="Arial"/>
                <w:b w:val="0"/>
                <w:sz w:val="22"/>
                <w:szCs w:val="22"/>
              </w:rPr>
            </w:pPr>
            <w:r w:rsidRPr="00D2689D">
              <w:rPr>
                <w:rFonts w:ascii="Garamond" w:hAnsi="Garamond" w:cs="Arial"/>
                <w:sz w:val="22"/>
                <w:szCs w:val="22"/>
              </w:rPr>
              <w:t>Unusual</w:t>
            </w:r>
            <w:r w:rsidRPr="00AE0690">
              <w:rPr>
                <w:rFonts w:ascii="Garamond" w:hAnsi="Garamond" w:cs="Arial"/>
                <w:b w:val="0"/>
                <w:sz w:val="22"/>
                <w:szCs w:val="22"/>
              </w:rPr>
              <w:t xml:space="preserve"> </w:t>
            </w:r>
            <w:bookmarkStart w:id="2" w:name="6E78C451992D8B6C86257578006C6535-wkhl3"/>
            <w:bookmarkEnd w:id="2"/>
            <w:r w:rsidRPr="00AE0690">
              <w:rPr>
                <w:rFonts w:ascii="Garamond" w:hAnsi="Garamond" w:cs="Arial"/>
                <w:sz w:val="22"/>
                <w:szCs w:val="22"/>
              </w:rPr>
              <w:t>items</w:t>
            </w:r>
            <w:r w:rsidRPr="00AE0690">
              <w:rPr>
                <w:rFonts w:ascii="Garamond" w:hAnsi="Garamond" w:cs="Arial"/>
                <w:b w:val="0"/>
                <w:sz w:val="22"/>
                <w:szCs w:val="22"/>
              </w:rPr>
              <w:t xml:space="preserve"> should be considered individually — not in the aggregate — in determining whether they are material. It is particularly important not to net these </w:t>
            </w:r>
            <w:r w:rsidRPr="00AE0690">
              <w:rPr>
                <w:rFonts w:ascii="Garamond" w:hAnsi="Garamond" w:cs="Arial"/>
                <w:sz w:val="22"/>
                <w:szCs w:val="22"/>
              </w:rPr>
              <w:t>items</w:t>
            </w:r>
            <w:r w:rsidRPr="00AE0690">
              <w:rPr>
                <w:rFonts w:ascii="Garamond" w:hAnsi="Garamond" w:cs="Arial"/>
                <w:b w:val="0"/>
                <w:sz w:val="22"/>
                <w:szCs w:val="22"/>
              </w:rPr>
              <w:t xml:space="preserve"> in making a judgment as to whether disclosure is required. However, the effect of a series of related transactions arising from a single event should be aggregated to determine materiality. </w:t>
            </w:r>
          </w:p>
          <w:p w14:paraId="664DD43B" w14:textId="77777777" w:rsidR="00D306A5" w:rsidRPr="00AE0690" w:rsidRDefault="00D306A5" w:rsidP="00D306A5">
            <w:pPr>
              <w:pStyle w:val="armleftmargin000"/>
              <w:rPr>
                <w:rFonts w:ascii="Garamond" w:hAnsi="Garamond" w:cs="Arial"/>
                <w:b w:val="0"/>
                <w:sz w:val="22"/>
                <w:szCs w:val="22"/>
              </w:rPr>
            </w:pPr>
            <w:r w:rsidRPr="00AE0690">
              <w:rPr>
                <w:rFonts w:ascii="Garamond" w:hAnsi="Garamond" w:cs="Arial"/>
                <w:b w:val="0"/>
                <w:sz w:val="22"/>
                <w:szCs w:val="22"/>
              </w:rPr>
              <w:t xml:space="preserve">Revisions to previous estimates of unusual </w:t>
            </w:r>
            <w:bookmarkStart w:id="3" w:name="6E78C451992D8B6C86257578006C6535-wkhl4"/>
            <w:bookmarkEnd w:id="3"/>
            <w:r w:rsidRPr="00AE0690">
              <w:rPr>
                <w:rFonts w:ascii="Garamond" w:hAnsi="Garamond" w:cs="Arial"/>
                <w:sz w:val="22"/>
                <w:szCs w:val="22"/>
              </w:rPr>
              <w:t>items</w:t>
            </w:r>
            <w:r w:rsidRPr="00AE0690">
              <w:rPr>
                <w:rFonts w:ascii="Garamond" w:hAnsi="Garamond" w:cs="Arial"/>
                <w:b w:val="0"/>
                <w:sz w:val="22"/>
                <w:szCs w:val="22"/>
              </w:rPr>
              <w:t xml:space="preserve"> should be treated as changes in accounting estimates and classified in the income statement in the same manner as the original </w:t>
            </w:r>
            <w:r w:rsidRPr="00AE0690">
              <w:rPr>
                <w:rFonts w:ascii="Garamond" w:hAnsi="Garamond" w:cs="Arial"/>
                <w:sz w:val="22"/>
                <w:szCs w:val="22"/>
              </w:rPr>
              <w:t>item</w:t>
            </w:r>
            <w:r w:rsidRPr="00AE0690">
              <w:rPr>
                <w:rFonts w:ascii="Garamond" w:hAnsi="Garamond" w:cs="Arial"/>
                <w:b w:val="0"/>
                <w:sz w:val="22"/>
                <w:szCs w:val="22"/>
              </w:rPr>
              <w:t xml:space="preserve">, unless immaterial. The revision should be disclosed separately as to year of origin, nature, and amount. </w:t>
            </w:r>
          </w:p>
          <w:p w14:paraId="1F092E2A" w14:textId="63CBCBAE" w:rsidR="00D306A5" w:rsidRPr="00AE0690" w:rsidRDefault="00D306A5" w:rsidP="00D306A5">
            <w:pPr>
              <w:pStyle w:val="armleftmargin000"/>
              <w:rPr>
                <w:rFonts w:ascii="Garamond" w:hAnsi="Garamond" w:cs="Arial"/>
                <w:sz w:val="22"/>
                <w:szCs w:val="22"/>
              </w:rPr>
            </w:pPr>
            <w:r w:rsidRPr="00AE0690">
              <w:rPr>
                <w:rFonts w:ascii="Garamond" w:hAnsi="Garamond" w:cs="Arial"/>
                <w:sz w:val="22"/>
                <w:szCs w:val="22"/>
              </w:rPr>
              <w:t xml:space="preserve">Income and expense </w:t>
            </w:r>
            <w:bookmarkStart w:id="4" w:name="6E78C451992D8B6C86257578006C6535-wkhl6"/>
            <w:bookmarkEnd w:id="4"/>
            <w:r w:rsidRPr="00AE0690">
              <w:rPr>
                <w:rFonts w:ascii="Garamond" w:hAnsi="Garamond" w:cs="Arial"/>
                <w:sz w:val="22"/>
                <w:szCs w:val="22"/>
              </w:rPr>
              <w:t>items should not be presented as extraordinary in either the income statement or notes.”</w:t>
            </w:r>
          </w:p>
          <w:p w14:paraId="54024C1B" w14:textId="40983258" w:rsidR="00D306A5" w:rsidRPr="00AE0690" w:rsidRDefault="00D306A5" w:rsidP="00696680">
            <w:pPr>
              <w:rPr>
                <w:b w:val="0"/>
                <w:szCs w:val="22"/>
              </w:rPr>
            </w:pPr>
          </w:p>
        </w:tc>
        <w:tc>
          <w:tcPr>
            <w:tcW w:w="1862" w:type="dxa"/>
          </w:tcPr>
          <w:p w14:paraId="772E974D" w14:textId="722243E9" w:rsidR="00527903" w:rsidRPr="00AE0690" w:rsidRDefault="000D6273" w:rsidP="00527903">
            <w:pPr>
              <w:cnfStyle w:val="000000010000" w:firstRow="0" w:lastRow="0" w:firstColumn="0" w:lastColumn="0" w:oddVBand="0" w:evenVBand="0" w:oddHBand="0" w:evenHBand="1" w:firstRowFirstColumn="0" w:firstRowLastColumn="0" w:lastRowFirstColumn="0" w:lastRowLastColumn="0"/>
              <w:rPr>
                <w:rFonts w:asciiTheme="minorHAnsi" w:hAnsiTheme="minorHAnsi"/>
                <w:color w:val="FF0000"/>
                <w:szCs w:val="22"/>
              </w:rPr>
            </w:pPr>
            <w:r w:rsidRPr="00AE0690">
              <w:rPr>
                <w:szCs w:val="22"/>
              </w:rPr>
              <w:lastRenderedPageBreak/>
              <w:t>Does not follow new guidance</w:t>
            </w:r>
          </w:p>
        </w:tc>
        <w:tc>
          <w:tcPr>
            <w:tcW w:w="1980" w:type="dxa"/>
          </w:tcPr>
          <w:p w14:paraId="516F499A" w14:textId="380109DB" w:rsidR="00527903" w:rsidRPr="00AE0690" w:rsidRDefault="000D6273" w:rsidP="00527903">
            <w:pPr>
              <w:cnfStyle w:val="000000010000" w:firstRow="0" w:lastRow="0" w:firstColumn="0" w:lastColumn="0" w:oddVBand="0" w:evenVBand="0" w:oddHBand="0" w:evenHBand="1" w:firstRowFirstColumn="0" w:firstRowLastColumn="0" w:lastRowFirstColumn="0" w:lastRowLastColumn="0"/>
              <w:rPr>
                <w:rFonts w:asciiTheme="minorHAnsi" w:hAnsiTheme="minorHAnsi"/>
                <w:color w:val="FF0000"/>
                <w:szCs w:val="22"/>
              </w:rPr>
            </w:pPr>
            <w:r w:rsidRPr="00AE0690">
              <w:rPr>
                <w:szCs w:val="22"/>
              </w:rPr>
              <w:t>Does not follow new guidance</w:t>
            </w:r>
          </w:p>
        </w:tc>
        <w:tc>
          <w:tcPr>
            <w:tcW w:w="1890" w:type="dxa"/>
          </w:tcPr>
          <w:p w14:paraId="356770B0" w14:textId="34149B8A" w:rsidR="00527903" w:rsidRPr="00AE0690" w:rsidRDefault="000D6273" w:rsidP="00527903">
            <w:pPr>
              <w:cnfStyle w:val="000000010000" w:firstRow="0" w:lastRow="0" w:firstColumn="0" w:lastColumn="0" w:oddVBand="0" w:evenVBand="0" w:oddHBand="0" w:evenHBand="1" w:firstRowFirstColumn="0" w:firstRowLastColumn="0" w:lastRowFirstColumn="0" w:lastRowLastColumn="0"/>
              <w:rPr>
                <w:rFonts w:asciiTheme="minorHAnsi" w:hAnsiTheme="minorHAnsi"/>
                <w:color w:val="FF0000"/>
                <w:szCs w:val="22"/>
              </w:rPr>
            </w:pPr>
            <w:r w:rsidRPr="00AE0690">
              <w:rPr>
                <w:szCs w:val="22"/>
              </w:rPr>
              <w:t>Does not follow new guidance</w:t>
            </w:r>
          </w:p>
        </w:tc>
        <w:tc>
          <w:tcPr>
            <w:tcW w:w="1450" w:type="dxa"/>
          </w:tcPr>
          <w:p w14:paraId="5C5ADE50" w14:textId="0B86AAF6" w:rsidR="00527903" w:rsidRPr="00AE0690" w:rsidRDefault="000D6273" w:rsidP="00527903">
            <w:pPr>
              <w:cnfStyle w:val="000000010000" w:firstRow="0" w:lastRow="0" w:firstColumn="0" w:lastColumn="0" w:oddVBand="0" w:evenVBand="0" w:oddHBand="0" w:evenHBand="1" w:firstRowFirstColumn="0" w:firstRowLastColumn="0" w:lastRowFirstColumn="0" w:lastRowLastColumn="0"/>
              <w:rPr>
                <w:rFonts w:asciiTheme="minorHAnsi" w:hAnsiTheme="minorHAnsi"/>
                <w:color w:val="FF0000"/>
                <w:szCs w:val="22"/>
              </w:rPr>
            </w:pPr>
            <w:r w:rsidRPr="00AE0690">
              <w:rPr>
                <w:szCs w:val="22"/>
              </w:rPr>
              <w:t>N/A</w:t>
            </w:r>
          </w:p>
        </w:tc>
      </w:tr>
      <w:tr w:rsidR="00B24115" w:rsidRPr="00655FDE" w14:paraId="57394787" w14:textId="77777777" w:rsidTr="006C6DA5">
        <w:trPr>
          <w:cnfStyle w:val="000000100000" w:firstRow="0" w:lastRow="0" w:firstColumn="0" w:lastColumn="0" w:oddVBand="0" w:evenVBand="0" w:oddHBand="1" w:evenHBand="0" w:firstRowFirstColumn="0" w:firstRowLastColumn="0" w:lastRowFirstColumn="0" w:lastRowLastColumn="0"/>
          <w:trHeight w:val="1600"/>
        </w:trPr>
        <w:tc>
          <w:tcPr>
            <w:cnfStyle w:val="001000000000" w:firstRow="0" w:lastRow="0" w:firstColumn="1" w:lastColumn="0" w:oddVBand="0" w:evenVBand="0" w:oddHBand="0" w:evenHBand="0" w:firstRowFirstColumn="0" w:firstRowLastColumn="0" w:lastRowFirstColumn="0" w:lastRowLastColumn="0"/>
            <w:tcW w:w="7488" w:type="dxa"/>
          </w:tcPr>
          <w:p w14:paraId="300ED67D" w14:textId="7CAFAEA2" w:rsidR="00B24115" w:rsidRPr="00AE0690" w:rsidRDefault="00B24115" w:rsidP="00B24115">
            <w:pPr>
              <w:rPr>
                <w:rFonts w:asciiTheme="minorHAnsi" w:hAnsiTheme="minorHAnsi"/>
                <w:szCs w:val="22"/>
              </w:rPr>
            </w:pPr>
            <w:r w:rsidRPr="00AE0690">
              <w:rPr>
                <w:rFonts w:asciiTheme="minorHAnsi" w:hAnsiTheme="minorHAnsi"/>
                <w:szCs w:val="22"/>
              </w:rPr>
              <w:t>Statement of Financial Accounting Standards No. 130</w:t>
            </w:r>
            <w:r w:rsidR="009A1390" w:rsidRPr="00AE0690">
              <w:rPr>
                <w:rFonts w:asciiTheme="minorHAnsi" w:hAnsiTheme="minorHAnsi"/>
                <w:szCs w:val="22"/>
              </w:rPr>
              <w:t xml:space="preserve">, </w:t>
            </w:r>
            <w:r w:rsidRPr="00AE0690">
              <w:rPr>
                <w:rFonts w:asciiTheme="minorHAnsi" w:hAnsiTheme="minorHAnsi"/>
                <w:szCs w:val="22"/>
              </w:rPr>
              <w:t>Reporting Comprehensive Income</w:t>
            </w:r>
            <w:r w:rsidR="00751A2A" w:rsidRPr="00AE0690">
              <w:rPr>
                <w:rFonts w:asciiTheme="minorHAnsi" w:hAnsiTheme="minorHAnsi"/>
                <w:szCs w:val="22"/>
              </w:rPr>
              <w:t xml:space="preserve"> </w:t>
            </w:r>
            <w:r w:rsidR="009A1390" w:rsidRPr="00AE0690">
              <w:rPr>
                <w:rFonts w:asciiTheme="minorHAnsi" w:hAnsiTheme="minorHAnsi"/>
                <w:szCs w:val="22"/>
              </w:rPr>
              <w:t xml:space="preserve">: </w:t>
            </w:r>
            <w:r w:rsidRPr="00AE0690">
              <w:rPr>
                <w:b w:val="0"/>
                <w:szCs w:val="22"/>
              </w:rPr>
              <w:t>Items included in net income are displayed in various classifications. Those classifications can include income from continuing operations, discontinued operations, extraordinary items, and cumulative effects of changes in accounting principle.</w:t>
            </w:r>
          </w:p>
        </w:tc>
        <w:tc>
          <w:tcPr>
            <w:tcW w:w="1862" w:type="dxa"/>
          </w:tcPr>
          <w:p w14:paraId="444756D9" w14:textId="5FC323B1" w:rsidR="00B24115" w:rsidRPr="00AE0690" w:rsidRDefault="0095550A" w:rsidP="00527903">
            <w:pPr>
              <w:cnfStyle w:val="000000100000" w:firstRow="0" w:lastRow="0" w:firstColumn="0" w:lastColumn="0" w:oddVBand="0" w:evenVBand="0" w:oddHBand="1" w:evenHBand="0" w:firstRowFirstColumn="0" w:firstRowLastColumn="0" w:lastRowFirstColumn="0" w:lastRowLastColumn="0"/>
              <w:rPr>
                <w:rFonts w:asciiTheme="minorHAnsi" w:hAnsiTheme="minorHAnsi"/>
                <w:color w:val="FF0000"/>
                <w:szCs w:val="22"/>
              </w:rPr>
            </w:pPr>
            <w:r w:rsidRPr="00AE0690">
              <w:rPr>
                <w:szCs w:val="22"/>
              </w:rPr>
              <w:t>Follows current guidance</w:t>
            </w:r>
          </w:p>
        </w:tc>
        <w:tc>
          <w:tcPr>
            <w:tcW w:w="1980" w:type="dxa"/>
          </w:tcPr>
          <w:p w14:paraId="7FDB89B6" w14:textId="29D06D54" w:rsidR="00B24115" w:rsidRPr="00AE0690" w:rsidRDefault="000F143A" w:rsidP="00527903">
            <w:pPr>
              <w:cnfStyle w:val="000000100000" w:firstRow="0" w:lastRow="0" w:firstColumn="0" w:lastColumn="0" w:oddVBand="0" w:evenVBand="0" w:oddHBand="1" w:evenHBand="0" w:firstRowFirstColumn="0" w:firstRowLastColumn="0" w:lastRowFirstColumn="0" w:lastRowLastColumn="0"/>
              <w:rPr>
                <w:rFonts w:asciiTheme="minorHAnsi" w:hAnsiTheme="minorHAnsi"/>
                <w:color w:val="FF0000"/>
                <w:szCs w:val="22"/>
              </w:rPr>
            </w:pPr>
            <w:r w:rsidRPr="00AE0690">
              <w:rPr>
                <w:szCs w:val="22"/>
              </w:rPr>
              <w:t>Follows alternative guidance</w:t>
            </w:r>
          </w:p>
        </w:tc>
        <w:tc>
          <w:tcPr>
            <w:tcW w:w="1890" w:type="dxa"/>
          </w:tcPr>
          <w:p w14:paraId="243F04E1" w14:textId="3BFEF8F2" w:rsidR="00B24115" w:rsidRPr="00AE0690" w:rsidRDefault="000F143A" w:rsidP="00527903">
            <w:pPr>
              <w:cnfStyle w:val="000000100000" w:firstRow="0" w:lastRow="0" w:firstColumn="0" w:lastColumn="0" w:oddVBand="0" w:evenVBand="0" w:oddHBand="1" w:evenHBand="0" w:firstRowFirstColumn="0" w:firstRowLastColumn="0" w:lastRowFirstColumn="0" w:lastRowLastColumn="0"/>
              <w:rPr>
                <w:rFonts w:asciiTheme="minorHAnsi" w:hAnsiTheme="minorHAnsi"/>
                <w:color w:val="FF0000"/>
                <w:szCs w:val="22"/>
              </w:rPr>
            </w:pPr>
            <w:r w:rsidRPr="00AE0690">
              <w:rPr>
                <w:szCs w:val="22"/>
              </w:rPr>
              <w:t>Follows alternative guidance</w:t>
            </w:r>
          </w:p>
        </w:tc>
        <w:tc>
          <w:tcPr>
            <w:tcW w:w="1450" w:type="dxa"/>
          </w:tcPr>
          <w:p w14:paraId="20AAE5A9" w14:textId="36840E38" w:rsidR="00B24115" w:rsidRPr="00AE0690" w:rsidRDefault="001E1DAE" w:rsidP="00527903">
            <w:pPr>
              <w:cnfStyle w:val="000000100000" w:firstRow="0" w:lastRow="0" w:firstColumn="0" w:lastColumn="0" w:oddVBand="0" w:evenVBand="0" w:oddHBand="1" w:evenHBand="0" w:firstRowFirstColumn="0" w:firstRowLastColumn="0" w:lastRowFirstColumn="0" w:lastRowLastColumn="0"/>
              <w:rPr>
                <w:rFonts w:asciiTheme="minorHAnsi" w:hAnsiTheme="minorHAnsi"/>
                <w:color w:val="FF0000"/>
                <w:szCs w:val="22"/>
              </w:rPr>
            </w:pPr>
            <w:r w:rsidRPr="00AE0690">
              <w:rPr>
                <w:szCs w:val="22"/>
              </w:rPr>
              <w:t>N/A</w:t>
            </w:r>
          </w:p>
        </w:tc>
      </w:tr>
      <w:tr w:rsidR="000B6F69" w:rsidRPr="00655FDE" w14:paraId="65EC0B51" w14:textId="77777777" w:rsidTr="006C6DA5">
        <w:trPr>
          <w:cnfStyle w:val="000000010000" w:firstRow="0" w:lastRow="0" w:firstColumn="0" w:lastColumn="0" w:oddVBand="0" w:evenVBand="0" w:oddHBand="0" w:evenHBand="1" w:firstRowFirstColumn="0" w:firstRowLastColumn="0" w:lastRowFirstColumn="0" w:lastRowLastColumn="0"/>
          <w:trHeight w:val="968"/>
        </w:trPr>
        <w:tc>
          <w:tcPr>
            <w:cnfStyle w:val="001000000000" w:firstRow="0" w:lastRow="0" w:firstColumn="1" w:lastColumn="0" w:oddVBand="0" w:evenVBand="0" w:oddHBand="0" w:evenHBand="0" w:firstRowFirstColumn="0" w:firstRowLastColumn="0" w:lastRowFirstColumn="0" w:lastRowLastColumn="0"/>
            <w:tcW w:w="7488" w:type="dxa"/>
          </w:tcPr>
          <w:p w14:paraId="618D298C" w14:textId="0E612B26" w:rsidR="00240F67" w:rsidRPr="00AE0690" w:rsidRDefault="000B6F69" w:rsidP="00CE3DF5">
            <w:pPr>
              <w:rPr>
                <w:b w:val="0"/>
                <w:szCs w:val="22"/>
              </w:rPr>
            </w:pPr>
            <w:r w:rsidRPr="00AE0690">
              <w:rPr>
                <w:rFonts w:asciiTheme="minorHAnsi" w:hAnsiTheme="minorHAnsi"/>
                <w:color w:val="000000" w:themeColor="text1"/>
                <w:szCs w:val="22"/>
              </w:rPr>
              <w:t xml:space="preserve">Industry Practice:  </w:t>
            </w:r>
            <w:r w:rsidR="00240F67" w:rsidRPr="00AE0690">
              <w:rPr>
                <w:b w:val="0"/>
                <w:szCs w:val="22"/>
              </w:rPr>
              <w:t>The industry standard is to follow GAAP</w:t>
            </w:r>
            <w:r w:rsidR="000D6273" w:rsidRPr="00AE0690">
              <w:rPr>
                <w:b w:val="0"/>
                <w:szCs w:val="22"/>
              </w:rPr>
              <w:t xml:space="preserve">, which has removed the concept of extraordinary items from the financial statements.  </w:t>
            </w:r>
            <w:r w:rsidR="00240F67" w:rsidRPr="00AE0690">
              <w:rPr>
                <w:b w:val="0"/>
                <w:szCs w:val="22"/>
              </w:rPr>
              <w:t xml:space="preserve">  </w:t>
            </w:r>
          </w:p>
          <w:p w14:paraId="08215B83" w14:textId="2BAAF44B" w:rsidR="00240F67" w:rsidRPr="00AE0690" w:rsidRDefault="00240F67" w:rsidP="00CE3DF5">
            <w:pPr>
              <w:rPr>
                <w:rFonts w:asciiTheme="minorHAnsi" w:hAnsiTheme="minorHAnsi"/>
                <w:b w:val="0"/>
                <w:color w:val="000000" w:themeColor="text1"/>
                <w:szCs w:val="22"/>
              </w:rPr>
            </w:pPr>
            <w:r w:rsidRPr="00AE0690">
              <w:rPr>
                <w:rFonts w:asciiTheme="minorHAnsi" w:hAnsiTheme="minorHAnsi"/>
                <w:b w:val="0"/>
                <w:color w:val="000000" w:themeColor="text1"/>
                <w:szCs w:val="22"/>
              </w:rPr>
              <w:t xml:space="preserve"> </w:t>
            </w:r>
          </w:p>
        </w:tc>
        <w:tc>
          <w:tcPr>
            <w:tcW w:w="1862" w:type="dxa"/>
          </w:tcPr>
          <w:p w14:paraId="02C06E1C" w14:textId="4A605236" w:rsidR="000B6F69" w:rsidRPr="00AE0690" w:rsidRDefault="000D6273" w:rsidP="000B6F69">
            <w:pPr>
              <w:cnfStyle w:val="000000010000" w:firstRow="0" w:lastRow="0" w:firstColumn="0" w:lastColumn="0" w:oddVBand="0" w:evenVBand="0" w:oddHBand="0" w:evenHBand="1" w:firstRowFirstColumn="0" w:firstRowLastColumn="0" w:lastRowFirstColumn="0" w:lastRowLastColumn="0"/>
              <w:rPr>
                <w:rFonts w:asciiTheme="minorHAnsi" w:hAnsiTheme="minorHAnsi"/>
                <w:color w:val="000000" w:themeColor="text1"/>
                <w:szCs w:val="22"/>
              </w:rPr>
            </w:pPr>
            <w:r w:rsidRPr="00AE0690">
              <w:rPr>
                <w:szCs w:val="22"/>
              </w:rPr>
              <w:t>Does not follow new guidance</w:t>
            </w:r>
          </w:p>
        </w:tc>
        <w:tc>
          <w:tcPr>
            <w:tcW w:w="1980" w:type="dxa"/>
          </w:tcPr>
          <w:p w14:paraId="2B4CE085" w14:textId="3FE64F71" w:rsidR="000B6F69" w:rsidRPr="00AE0690" w:rsidRDefault="000D6273" w:rsidP="000B6F69">
            <w:pPr>
              <w:cnfStyle w:val="000000010000" w:firstRow="0" w:lastRow="0" w:firstColumn="0" w:lastColumn="0" w:oddVBand="0" w:evenVBand="0" w:oddHBand="0" w:evenHBand="1" w:firstRowFirstColumn="0" w:firstRowLastColumn="0" w:lastRowFirstColumn="0" w:lastRowLastColumn="0"/>
              <w:rPr>
                <w:rFonts w:asciiTheme="minorHAnsi" w:hAnsiTheme="minorHAnsi"/>
                <w:color w:val="000000" w:themeColor="text1"/>
                <w:szCs w:val="22"/>
              </w:rPr>
            </w:pPr>
            <w:r w:rsidRPr="00AE0690">
              <w:rPr>
                <w:szCs w:val="22"/>
              </w:rPr>
              <w:t>Does not follow new guidance</w:t>
            </w:r>
          </w:p>
        </w:tc>
        <w:tc>
          <w:tcPr>
            <w:tcW w:w="1890" w:type="dxa"/>
          </w:tcPr>
          <w:p w14:paraId="3F4E1893" w14:textId="039E851C" w:rsidR="000B6F69" w:rsidRPr="00AE0690" w:rsidRDefault="000D6273" w:rsidP="000B6F69">
            <w:pPr>
              <w:cnfStyle w:val="000000010000" w:firstRow="0" w:lastRow="0" w:firstColumn="0" w:lastColumn="0" w:oddVBand="0" w:evenVBand="0" w:oddHBand="0" w:evenHBand="1" w:firstRowFirstColumn="0" w:firstRowLastColumn="0" w:lastRowFirstColumn="0" w:lastRowLastColumn="0"/>
              <w:rPr>
                <w:rFonts w:asciiTheme="minorHAnsi" w:hAnsiTheme="minorHAnsi"/>
                <w:color w:val="000000" w:themeColor="text1"/>
                <w:szCs w:val="22"/>
              </w:rPr>
            </w:pPr>
            <w:r w:rsidRPr="00AE0690">
              <w:rPr>
                <w:szCs w:val="22"/>
              </w:rPr>
              <w:t>Does not follow new guidance</w:t>
            </w:r>
          </w:p>
        </w:tc>
        <w:tc>
          <w:tcPr>
            <w:tcW w:w="1450" w:type="dxa"/>
          </w:tcPr>
          <w:p w14:paraId="32118A1B" w14:textId="0322523D" w:rsidR="000B6F69" w:rsidRPr="00AE0690" w:rsidRDefault="001E1DAE" w:rsidP="000B6F69">
            <w:pPr>
              <w:cnfStyle w:val="000000010000" w:firstRow="0" w:lastRow="0" w:firstColumn="0" w:lastColumn="0" w:oddVBand="0" w:evenVBand="0" w:oddHBand="0" w:evenHBand="1" w:firstRowFirstColumn="0" w:firstRowLastColumn="0" w:lastRowFirstColumn="0" w:lastRowLastColumn="0"/>
              <w:rPr>
                <w:rFonts w:asciiTheme="minorHAnsi" w:hAnsiTheme="minorHAnsi"/>
                <w:color w:val="000000" w:themeColor="text1"/>
                <w:szCs w:val="22"/>
              </w:rPr>
            </w:pPr>
            <w:r w:rsidRPr="00AE0690">
              <w:rPr>
                <w:szCs w:val="22"/>
              </w:rPr>
              <w:t>N/A</w:t>
            </w:r>
          </w:p>
        </w:tc>
      </w:tr>
    </w:tbl>
    <w:p w14:paraId="2B7B16A4" w14:textId="77777777" w:rsidR="00207664" w:rsidRDefault="00207664" w:rsidP="00207664">
      <w:pPr>
        <w:pStyle w:val="Heading1"/>
        <w:rPr>
          <w:sz w:val="24"/>
        </w:rPr>
      </w:pPr>
    </w:p>
    <w:p w14:paraId="073418BD" w14:textId="77777777" w:rsidR="00E9408E" w:rsidRDefault="00E9408E" w:rsidP="00207664">
      <w:pPr>
        <w:pStyle w:val="Heading1"/>
        <w:tabs>
          <w:tab w:val="left" w:pos="6675"/>
        </w:tabs>
        <w:ind w:left="-2160" w:firstLine="180"/>
        <w:rPr>
          <w:sz w:val="24"/>
        </w:rPr>
      </w:pPr>
    </w:p>
    <w:p w14:paraId="10A18883" w14:textId="77777777" w:rsidR="00D2689D" w:rsidRDefault="00207664" w:rsidP="00D2689D">
      <w:pPr>
        <w:pStyle w:val="Heading1"/>
        <w:tabs>
          <w:tab w:val="left" w:pos="6675"/>
        </w:tabs>
        <w:spacing w:line="240" w:lineRule="auto"/>
        <w:ind w:left="-2160" w:firstLine="187"/>
        <w:rPr>
          <w:sz w:val="24"/>
        </w:rPr>
      </w:pPr>
      <w:r>
        <w:rPr>
          <w:sz w:val="24"/>
        </w:rPr>
        <w:t>Discussion</w:t>
      </w:r>
    </w:p>
    <w:p w14:paraId="4247BEB4" w14:textId="60533154" w:rsidR="00D2689D" w:rsidRDefault="0085319D" w:rsidP="00D2689D">
      <w:pPr>
        <w:pStyle w:val="Heading1"/>
        <w:tabs>
          <w:tab w:val="left" w:pos="6675"/>
        </w:tabs>
        <w:spacing w:line="240" w:lineRule="auto"/>
        <w:ind w:left="-806"/>
        <w:rPr>
          <w:sz w:val="24"/>
        </w:rPr>
      </w:pPr>
      <w:r>
        <w:rPr>
          <w:rFonts w:ascii="Garamond" w:hAnsi="Garamond"/>
          <w:bCs w:val="0"/>
          <w:color w:val="auto"/>
          <w:kern w:val="0"/>
          <w:sz w:val="24"/>
          <w:szCs w:val="20"/>
        </w:rPr>
        <w:t xml:space="preserve">DoD guidance </w:t>
      </w:r>
      <w:r w:rsidR="00696680">
        <w:rPr>
          <w:rFonts w:ascii="Garamond" w:hAnsi="Garamond"/>
          <w:bCs w:val="0"/>
          <w:color w:val="auto"/>
          <w:kern w:val="0"/>
          <w:sz w:val="24"/>
          <w:szCs w:val="20"/>
        </w:rPr>
        <w:t xml:space="preserve">still defines </w:t>
      </w:r>
      <w:r w:rsidR="000D6273">
        <w:rPr>
          <w:rFonts w:ascii="Garamond" w:hAnsi="Garamond"/>
          <w:bCs w:val="0"/>
          <w:color w:val="auto"/>
          <w:kern w:val="0"/>
          <w:sz w:val="24"/>
          <w:szCs w:val="20"/>
        </w:rPr>
        <w:t>e</w:t>
      </w:r>
      <w:r w:rsidR="00696680">
        <w:rPr>
          <w:rFonts w:ascii="Garamond" w:hAnsi="Garamond"/>
          <w:bCs w:val="0"/>
          <w:color w:val="auto"/>
          <w:kern w:val="0"/>
          <w:sz w:val="24"/>
          <w:szCs w:val="20"/>
        </w:rPr>
        <w:t>xtraordinary items</w:t>
      </w:r>
      <w:r w:rsidR="000D6273">
        <w:rPr>
          <w:rFonts w:ascii="Garamond" w:hAnsi="Garamond"/>
          <w:bCs w:val="0"/>
          <w:color w:val="auto"/>
          <w:kern w:val="0"/>
          <w:sz w:val="24"/>
          <w:szCs w:val="20"/>
        </w:rPr>
        <w:t xml:space="preserve"> and presents them separately from ordinary income in the financial statements</w:t>
      </w:r>
      <w:r w:rsidR="00696680">
        <w:rPr>
          <w:rFonts w:ascii="Garamond" w:hAnsi="Garamond"/>
          <w:bCs w:val="0"/>
          <w:color w:val="auto"/>
          <w:kern w:val="0"/>
          <w:sz w:val="24"/>
          <w:szCs w:val="20"/>
        </w:rPr>
        <w:t>, w</w:t>
      </w:r>
      <w:r w:rsidR="000D6273">
        <w:rPr>
          <w:rFonts w:ascii="Garamond" w:hAnsi="Garamond"/>
          <w:bCs w:val="0"/>
          <w:color w:val="auto"/>
          <w:kern w:val="0"/>
          <w:sz w:val="24"/>
          <w:szCs w:val="20"/>
        </w:rPr>
        <w:t>hile GAAP has discontinued separate presentation and recognition of Extraordinary items</w:t>
      </w:r>
      <w:r>
        <w:rPr>
          <w:rFonts w:ascii="Garamond" w:hAnsi="Garamond"/>
          <w:bCs w:val="0"/>
          <w:color w:val="auto"/>
          <w:kern w:val="0"/>
          <w:sz w:val="24"/>
          <w:szCs w:val="20"/>
        </w:rPr>
        <w:t xml:space="preserve">.  </w:t>
      </w:r>
      <w:r w:rsidR="000D6273" w:rsidRPr="000D6273">
        <w:rPr>
          <w:rFonts w:ascii="Garamond" w:hAnsi="Garamond"/>
          <w:b/>
          <w:bCs w:val="0"/>
          <w:color w:val="auto"/>
          <w:kern w:val="0"/>
          <w:sz w:val="24"/>
          <w:szCs w:val="20"/>
        </w:rPr>
        <w:t>The FMR/DoDI 1015.15 are thus in conflict with GAAP</w:t>
      </w:r>
      <w:r w:rsidR="000D6273">
        <w:rPr>
          <w:rFonts w:ascii="Garamond" w:hAnsi="Garamond"/>
          <w:bCs w:val="0"/>
          <w:color w:val="auto"/>
          <w:kern w:val="0"/>
          <w:sz w:val="24"/>
          <w:szCs w:val="20"/>
        </w:rPr>
        <w:t xml:space="preserve">. </w:t>
      </w:r>
      <w:r>
        <w:rPr>
          <w:rFonts w:ascii="Garamond" w:hAnsi="Garamond"/>
          <w:bCs w:val="0"/>
          <w:color w:val="auto"/>
          <w:kern w:val="0"/>
          <w:sz w:val="24"/>
          <w:szCs w:val="20"/>
        </w:rPr>
        <w:t xml:space="preserve">Specifically, </w:t>
      </w:r>
      <w:r w:rsidR="00242FAB">
        <w:rPr>
          <w:rFonts w:ascii="Garamond" w:hAnsi="Garamond"/>
          <w:bCs w:val="0"/>
          <w:color w:val="auto"/>
          <w:kern w:val="0"/>
          <w:sz w:val="24"/>
          <w:szCs w:val="20"/>
        </w:rPr>
        <w:t>FMR Volume 13 defines them as “</w:t>
      </w:r>
      <w:r w:rsidR="00242FAB" w:rsidRPr="00242FAB">
        <w:rPr>
          <w:rFonts w:ascii="Garamond" w:hAnsi="Garamond"/>
          <w:bCs w:val="0"/>
          <w:color w:val="auto"/>
          <w:kern w:val="0"/>
          <w:sz w:val="24"/>
          <w:szCs w:val="20"/>
        </w:rPr>
        <w:t xml:space="preserve">unusual </w:t>
      </w:r>
      <w:r w:rsidR="00980383">
        <w:rPr>
          <w:rFonts w:ascii="Garamond" w:hAnsi="Garamond"/>
          <w:bCs w:val="0"/>
          <w:color w:val="auto"/>
          <w:kern w:val="0"/>
          <w:sz w:val="24"/>
          <w:szCs w:val="20"/>
        </w:rPr>
        <w:t>and infrequent</w:t>
      </w:r>
      <w:r w:rsidR="00242FAB">
        <w:rPr>
          <w:rFonts w:ascii="Garamond" w:hAnsi="Garamond"/>
          <w:bCs w:val="0"/>
          <w:color w:val="auto"/>
          <w:kern w:val="0"/>
          <w:sz w:val="24"/>
          <w:szCs w:val="20"/>
        </w:rPr>
        <w:t>”</w:t>
      </w:r>
      <w:r w:rsidR="00356177">
        <w:rPr>
          <w:rFonts w:ascii="Garamond" w:hAnsi="Garamond"/>
          <w:bCs w:val="0"/>
          <w:color w:val="auto"/>
          <w:kern w:val="0"/>
          <w:sz w:val="24"/>
          <w:szCs w:val="20"/>
        </w:rPr>
        <w:t xml:space="preserve">  </w:t>
      </w:r>
    </w:p>
    <w:p w14:paraId="23E15079" w14:textId="77777777" w:rsidR="00D2689D" w:rsidRDefault="00D2689D" w:rsidP="00D2689D">
      <w:pPr>
        <w:pStyle w:val="Heading1"/>
        <w:tabs>
          <w:tab w:val="left" w:pos="6675"/>
        </w:tabs>
        <w:spacing w:line="240" w:lineRule="auto"/>
        <w:ind w:left="-806"/>
        <w:rPr>
          <w:sz w:val="24"/>
        </w:rPr>
      </w:pPr>
    </w:p>
    <w:p w14:paraId="2DBE8EA5" w14:textId="556BCE97" w:rsidR="00D561E8" w:rsidRDefault="006F73BD" w:rsidP="00D2689D">
      <w:pPr>
        <w:pStyle w:val="Heading1"/>
        <w:tabs>
          <w:tab w:val="left" w:pos="6675"/>
        </w:tabs>
        <w:spacing w:line="240" w:lineRule="auto"/>
        <w:ind w:left="-806"/>
      </w:pPr>
      <w:r>
        <w:rPr>
          <w:rFonts w:ascii="Garamond" w:hAnsi="Garamond"/>
          <w:bCs w:val="0"/>
          <w:color w:val="auto"/>
          <w:kern w:val="0"/>
          <w:sz w:val="24"/>
          <w:szCs w:val="20"/>
        </w:rPr>
        <w:t>GAAP retains the definitions of infrequent and unusual</w:t>
      </w:r>
      <w:r w:rsidR="00EC6A7F">
        <w:rPr>
          <w:rFonts w:ascii="Garamond" w:hAnsi="Garamond"/>
          <w:bCs w:val="0"/>
          <w:color w:val="auto"/>
          <w:kern w:val="0"/>
          <w:sz w:val="24"/>
          <w:szCs w:val="20"/>
        </w:rPr>
        <w:t xml:space="preserve"> for transactions and events</w:t>
      </w:r>
      <w:r>
        <w:rPr>
          <w:rFonts w:ascii="Garamond" w:hAnsi="Garamond"/>
          <w:bCs w:val="0"/>
          <w:color w:val="auto"/>
          <w:kern w:val="0"/>
          <w:sz w:val="24"/>
          <w:szCs w:val="20"/>
        </w:rPr>
        <w:t xml:space="preserve">. However, the designation of infrequent and unusual </w:t>
      </w:r>
      <w:r w:rsidR="00D306A5">
        <w:rPr>
          <w:rFonts w:ascii="Garamond" w:hAnsi="Garamond"/>
          <w:bCs w:val="0"/>
          <w:color w:val="auto"/>
          <w:kern w:val="0"/>
          <w:sz w:val="24"/>
          <w:szCs w:val="20"/>
        </w:rPr>
        <w:t>has no other use beyond a footnote disclosure or a potential</w:t>
      </w:r>
      <w:r>
        <w:rPr>
          <w:rFonts w:ascii="Garamond" w:hAnsi="Garamond"/>
          <w:bCs w:val="0"/>
          <w:color w:val="auto"/>
          <w:kern w:val="0"/>
          <w:sz w:val="24"/>
          <w:szCs w:val="20"/>
        </w:rPr>
        <w:t xml:space="preserve"> line-item distinction, as the items themselves will still summarize into Net Income without separate earnings per share</w:t>
      </w:r>
      <w:r w:rsidR="00D306A5">
        <w:rPr>
          <w:rFonts w:ascii="Garamond" w:hAnsi="Garamond"/>
          <w:bCs w:val="0"/>
          <w:color w:val="auto"/>
          <w:kern w:val="0"/>
          <w:sz w:val="24"/>
          <w:szCs w:val="20"/>
        </w:rPr>
        <w:t xml:space="preserve"> or net of income taxes.</w:t>
      </w:r>
      <w:r w:rsidR="00F73C14">
        <w:rPr>
          <w:rFonts w:ascii="Garamond" w:hAnsi="Garamond"/>
          <w:bCs w:val="0"/>
          <w:color w:val="auto"/>
          <w:kern w:val="0"/>
          <w:sz w:val="24"/>
          <w:szCs w:val="20"/>
        </w:rPr>
        <w:t xml:space="preserve"> </w:t>
      </w:r>
      <w:r>
        <w:rPr>
          <w:rFonts w:ascii="Garamond" w:hAnsi="Garamond"/>
          <w:bCs w:val="0"/>
          <w:color w:val="auto"/>
          <w:kern w:val="0"/>
          <w:sz w:val="24"/>
          <w:szCs w:val="20"/>
        </w:rPr>
        <w:t>With this standards u</w:t>
      </w:r>
      <w:r w:rsidR="00B37049">
        <w:rPr>
          <w:rFonts w:ascii="Garamond" w:hAnsi="Garamond"/>
          <w:bCs w:val="0"/>
          <w:color w:val="auto"/>
          <w:kern w:val="0"/>
          <w:sz w:val="24"/>
          <w:szCs w:val="20"/>
        </w:rPr>
        <w:t>pdate, the FASB</w:t>
      </w:r>
      <w:r>
        <w:rPr>
          <w:rFonts w:ascii="Garamond" w:hAnsi="Garamond"/>
          <w:bCs w:val="0"/>
          <w:color w:val="auto"/>
          <w:kern w:val="0"/>
          <w:sz w:val="24"/>
          <w:szCs w:val="20"/>
        </w:rPr>
        <w:t xml:space="preserve"> eliminat</w:t>
      </w:r>
      <w:r w:rsidR="00B37049">
        <w:rPr>
          <w:rFonts w:ascii="Garamond" w:hAnsi="Garamond"/>
          <w:bCs w:val="0"/>
          <w:color w:val="auto"/>
          <w:kern w:val="0"/>
          <w:sz w:val="24"/>
          <w:szCs w:val="20"/>
        </w:rPr>
        <w:t xml:space="preserve">ed </w:t>
      </w:r>
      <w:r>
        <w:rPr>
          <w:rFonts w:ascii="Garamond" w:hAnsi="Garamond"/>
          <w:bCs w:val="0"/>
          <w:color w:val="auto"/>
          <w:kern w:val="0"/>
          <w:sz w:val="24"/>
          <w:szCs w:val="20"/>
        </w:rPr>
        <w:t>of the concept of extraordinary items</w:t>
      </w:r>
      <w:r w:rsidR="00B37049">
        <w:rPr>
          <w:rFonts w:ascii="Garamond" w:hAnsi="Garamond"/>
          <w:bCs w:val="0"/>
          <w:color w:val="auto"/>
          <w:kern w:val="0"/>
          <w:sz w:val="24"/>
          <w:szCs w:val="20"/>
        </w:rPr>
        <w:t xml:space="preserve"> but allows companies to distinguish between unusual and infrequent events as a line item within ordinary income if they so desire</w:t>
      </w:r>
      <w:r>
        <w:rPr>
          <w:rFonts w:ascii="Garamond" w:hAnsi="Garamond"/>
          <w:bCs w:val="0"/>
          <w:color w:val="auto"/>
          <w:kern w:val="0"/>
          <w:sz w:val="24"/>
          <w:szCs w:val="20"/>
        </w:rPr>
        <w:t xml:space="preserve">. </w:t>
      </w:r>
      <w:r w:rsidR="00EC6A7F">
        <w:rPr>
          <w:rFonts w:ascii="Garamond" w:hAnsi="Garamond"/>
          <w:bCs w:val="0"/>
          <w:color w:val="auto"/>
          <w:kern w:val="0"/>
          <w:sz w:val="24"/>
          <w:szCs w:val="20"/>
        </w:rPr>
        <w:t>No expenses or revenues are to be classified as extraordinary in either the footnotes or income statement</w:t>
      </w:r>
      <w:r w:rsidR="00751A2A">
        <w:rPr>
          <w:rFonts w:ascii="Garamond" w:hAnsi="Garamond"/>
          <w:bCs w:val="0"/>
          <w:color w:val="auto"/>
          <w:kern w:val="0"/>
          <w:sz w:val="24"/>
          <w:szCs w:val="20"/>
        </w:rPr>
        <w:t>, but infrequent and/or unusual expenses and revenues can be disclosed in the footnotes or as a line item feeding into net income</w:t>
      </w:r>
      <w:r w:rsidR="00EC6A7F">
        <w:rPr>
          <w:rFonts w:ascii="Garamond" w:hAnsi="Garamond"/>
          <w:bCs w:val="0"/>
          <w:color w:val="auto"/>
          <w:kern w:val="0"/>
          <w:sz w:val="24"/>
          <w:szCs w:val="20"/>
        </w:rPr>
        <w:t xml:space="preserve">. </w:t>
      </w:r>
      <w:r w:rsidRPr="006F73BD">
        <w:t xml:space="preserve"> </w:t>
      </w:r>
    </w:p>
    <w:p w14:paraId="175A9C64" w14:textId="77777777" w:rsidR="00D2689D" w:rsidRDefault="00D2689D" w:rsidP="001F5567">
      <w:pPr>
        <w:pStyle w:val="Heading1"/>
        <w:tabs>
          <w:tab w:val="left" w:pos="6675"/>
        </w:tabs>
        <w:ind w:left="-2160" w:firstLine="180"/>
        <w:rPr>
          <w:sz w:val="24"/>
        </w:rPr>
      </w:pPr>
    </w:p>
    <w:p w14:paraId="3FB198C5" w14:textId="720CA772" w:rsidR="003E168E" w:rsidRDefault="00207664" w:rsidP="001F5567">
      <w:pPr>
        <w:pStyle w:val="Heading1"/>
        <w:tabs>
          <w:tab w:val="left" w:pos="6675"/>
        </w:tabs>
        <w:ind w:left="-2160" w:firstLine="180"/>
        <w:rPr>
          <w:sz w:val="24"/>
        </w:rPr>
      </w:pPr>
      <w:r>
        <w:rPr>
          <w:sz w:val="24"/>
        </w:rPr>
        <w:t>Recommendation</w:t>
      </w:r>
    </w:p>
    <w:p w14:paraId="568B5223" w14:textId="346A726E" w:rsidR="00751A2A" w:rsidRDefault="00751A2A" w:rsidP="00D2689D">
      <w:pPr>
        <w:pStyle w:val="BodyText"/>
        <w:spacing w:after="0" w:line="240" w:lineRule="auto"/>
        <w:ind w:left="-806"/>
        <w:rPr>
          <w:bCs/>
          <w:sz w:val="24"/>
          <w:szCs w:val="24"/>
        </w:rPr>
      </w:pPr>
      <w:r>
        <w:rPr>
          <w:bCs/>
          <w:sz w:val="24"/>
          <w:szCs w:val="24"/>
        </w:rPr>
        <w:t>Since t</w:t>
      </w:r>
      <w:r w:rsidRPr="00B95D5E">
        <w:rPr>
          <w:bCs/>
          <w:sz w:val="24"/>
          <w:szCs w:val="24"/>
        </w:rPr>
        <w:t xml:space="preserve">he FMR </w:t>
      </w:r>
      <w:r>
        <w:rPr>
          <w:bCs/>
          <w:sz w:val="24"/>
          <w:szCs w:val="24"/>
        </w:rPr>
        <w:t>is currently in conflict with</w:t>
      </w:r>
      <w:r w:rsidRPr="00B95D5E">
        <w:rPr>
          <w:bCs/>
          <w:sz w:val="24"/>
          <w:szCs w:val="24"/>
        </w:rPr>
        <w:t xml:space="preserve"> GAAP</w:t>
      </w:r>
      <w:r>
        <w:rPr>
          <w:bCs/>
          <w:sz w:val="24"/>
          <w:szCs w:val="24"/>
        </w:rPr>
        <w:t xml:space="preserve">, this recommendation requires adjusting the FMR to remove the concept of extraordinary items and the separate presentation of extraordinary items. </w:t>
      </w:r>
      <w:r w:rsidR="00BA7AF4">
        <w:rPr>
          <w:bCs/>
          <w:sz w:val="24"/>
          <w:szCs w:val="24"/>
        </w:rPr>
        <w:t xml:space="preserve">We further recommend a single Net Income figure be disclosed rather than any net income before infrequent and/or unusual items account as presently stated in FMR in order to be compliant with GAAP.  </w:t>
      </w:r>
    </w:p>
    <w:p w14:paraId="5D4B16A0" w14:textId="77777777" w:rsidR="00D2689D" w:rsidRDefault="00D2689D" w:rsidP="00D2689D">
      <w:pPr>
        <w:pStyle w:val="BodyText"/>
        <w:spacing w:after="0" w:line="240" w:lineRule="auto"/>
        <w:ind w:left="-806"/>
        <w:rPr>
          <w:bCs/>
          <w:sz w:val="24"/>
          <w:szCs w:val="24"/>
        </w:rPr>
      </w:pPr>
    </w:p>
    <w:p w14:paraId="225ADF40" w14:textId="19BE7880" w:rsidR="000B3BE8" w:rsidRDefault="00751A2A" w:rsidP="00D2689D">
      <w:pPr>
        <w:pStyle w:val="BodyText"/>
        <w:spacing w:after="0" w:line="240" w:lineRule="auto"/>
        <w:ind w:left="-806"/>
        <w:rPr>
          <w:bCs/>
          <w:sz w:val="24"/>
          <w:szCs w:val="24"/>
        </w:rPr>
      </w:pPr>
      <w:r>
        <w:rPr>
          <w:bCs/>
          <w:sz w:val="24"/>
          <w:szCs w:val="24"/>
        </w:rPr>
        <w:t>Ad</w:t>
      </w:r>
      <w:r w:rsidR="000B3BE8">
        <w:rPr>
          <w:bCs/>
          <w:sz w:val="24"/>
          <w:szCs w:val="24"/>
        </w:rPr>
        <w:t xml:space="preserve">ditionally, each Service </w:t>
      </w:r>
      <w:r>
        <w:rPr>
          <w:bCs/>
          <w:sz w:val="24"/>
          <w:szCs w:val="24"/>
        </w:rPr>
        <w:t xml:space="preserve">define unusual and infrequent items in the </w:t>
      </w:r>
      <w:r w:rsidR="001F5567" w:rsidRPr="00B95D5E">
        <w:rPr>
          <w:bCs/>
          <w:sz w:val="24"/>
          <w:szCs w:val="24"/>
        </w:rPr>
        <w:t>same manner</w:t>
      </w:r>
      <w:r>
        <w:rPr>
          <w:bCs/>
          <w:sz w:val="24"/>
          <w:szCs w:val="24"/>
        </w:rPr>
        <w:t xml:space="preserve">. We recommend </w:t>
      </w:r>
      <w:r w:rsidR="000B3BE8">
        <w:rPr>
          <w:bCs/>
          <w:sz w:val="24"/>
          <w:szCs w:val="24"/>
        </w:rPr>
        <w:t xml:space="preserve">the Services consider adopting language </w:t>
      </w:r>
      <w:r>
        <w:rPr>
          <w:bCs/>
          <w:sz w:val="24"/>
          <w:szCs w:val="24"/>
        </w:rPr>
        <w:t xml:space="preserve">with the emphasis on “not expected to happen again” for infrequent and “outside the normal activities for a NAFI.” </w:t>
      </w:r>
      <w:r w:rsidR="00BA7AF4">
        <w:rPr>
          <w:bCs/>
          <w:sz w:val="24"/>
          <w:szCs w:val="24"/>
        </w:rPr>
        <w:t>For ease and consistency of presentation, we</w:t>
      </w:r>
      <w:r w:rsidR="00BA7AF4" w:rsidRPr="00B95D5E">
        <w:rPr>
          <w:bCs/>
          <w:sz w:val="24"/>
          <w:szCs w:val="24"/>
        </w:rPr>
        <w:t xml:space="preserve"> recommend</w:t>
      </w:r>
      <w:r w:rsidR="00D306A5">
        <w:rPr>
          <w:bCs/>
          <w:sz w:val="24"/>
          <w:szCs w:val="24"/>
        </w:rPr>
        <w:t xml:space="preserve"> each service </w:t>
      </w:r>
      <w:r w:rsidR="00EC6A7F">
        <w:rPr>
          <w:bCs/>
          <w:sz w:val="24"/>
          <w:szCs w:val="24"/>
        </w:rPr>
        <w:t xml:space="preserve">specifically identify any transactions deemed to be infrequent and/or unusual enough to merit distinction from transactions in the normal course of business in the footnotes of the financial statements, rather than as part of any consolidated account such as “Infrequent Expenses” or “Unusual Income.” </w:t>
      </w:r>
      <w:r w:rsidR="000B3BE8">
        <w:rPr>
          <w:bCs/>
          <w:sz w:val="24"/>
          <w:szCs w:val="24"/>
        </w:rPr>
        <w:t xml:space="preserve"> </w:t>
      </w:r>
    </w:p>
    <w:p w14:paraId="34B7CD88" w14:textId="77777777" w:rsidR="000B3BE8" w:rsidRDefault="000B3BE8" w:rsidP="00D2689D">
      <w:pPr>
        <w:pStyle w:val="BodyText"/>
        <w:spacing w:after="0" w:line="240" w:lineRule="auto"/>
        <w:ind w:left="-806"/>
        <w:rPr>
          <w:bCs/>
          <w:sz w:val="24"/>
          <w:szCs w:val="24"/>
        </w:rPr>
      </w:pPr>
    </w:p>
    <w:p w14:paraId="11A0492B" w14:textId="6D791008" w:rsidR="00D2689D" w:rsidRDefault="000B3BE8" w:rsidP="00D2689D">
      <w:pPr>
        <w:pStyle w:val="BodyText"/>
        <w:spacing w:after="0" w:line="240" w:lineRule="auto"/>
        <w:ind w:left="-806"/>
        <w:rPr>
          <w:bCs/>
          <w:sz w:val="24"/>
          <w:szCs w:val="24"/>
        </w:rPr>
      </w:pPr>
      <w:r>
        <w:rPr>
          <w:bCs/>
          <w:sz w:val="24"/>
          <w:szCs w:val="24"/>
        </w:rPr>
        <w:t xml:space="preserve">We recommend the draft </w:t>
      </w:r>
      <w:r w:rsidR="00BA7AF4">
        <w:rPr>
          <w:bCs/>
          <w:sz w:val="24"/>
          <w:szCs w:val="24"/>
        </w:rPr>
        <w:t xml:space="preserve">NAFSGL 3.0 </w:t>
      </w:r>
      <w:r>
        <w:rPr>
          <w:bCs/>
          <w:sz w:val="24"/>
          <w:szCs w:val="24"/>
        </w:rPr>
        <w:t xml:space="preserve">be </w:t>
      </w:r>
      <w:r w:rsidR="00BA7AF4">
        <w:rPr>
          <w:bCs/>
          <w:sz w:val="24"/>
          <w:szCs w:val="24"/>
        </w:rPr>
        <w:t xml:space="preserve">adjusted to remove the </w:t>
      </w:r>
      <w:r>
        <w:rPr>
          <w:bCs/>
          <w:sz w:val="24"/>
          <w:szCs w:val="24"/>
        </w:rPr>
        <w:t xml:space="preserve">term </w:t>
      </w:r>
      <w:r w:rsidR="00BA7AF4">
        <w:rPr>
          <w:bCs/>
          <w:sz w:val="24"/>
          <w:szCs w:val="24"/>
        </w:rPr>
        <w:t>extraordinary items expenses/revenues</w:t>
      </w:r>
      <w:r>
        <w:rPr>
          <w:bCs/>
          <w:sz w:val="24"/>
          <w:szCs w:val="24"/>
        </w:rPr>
        <w:t xml:space="preserve">.  Further, we </w:t>
      </w:r>
      <w:r w:rsidR="00BA7AF4">
        <w:rPr>
          <w:bCs/>
          <w:sz w:val="24"/>
          <w:szCs w:val="24"/>
        </w:rPr>
        <w:t xml:space="preserve">recommend the Working Group consider removing any replacement accounts for “infrequent or unusual events” unless a compelling business reason requires the Services to keep such accounts. </w:t>
      </w:r>
    </w:p>
    <w:p w14:paraId="24AFD7BC" w14:textId="77777777" w:rsidR="00D2689D" w:rsidRDefault="00D2689D" w:rsidP="00D2689D">
      <w:pPr>
        <w:pStyle w:val="BodyText"/>
        <w:spacing w:after="0" w:line="240" w:lineRule="auto"/>
        <w:ind w:left="-806"/>
        <w:rPr>
          <w:bCs/>
          <w:sz w:val="24"/>
          <w:szCs w:val="24"/>
        </w:rPr>
      </w:pPr>
    </w:p>
    <w:p w14:paraId="3C0D31D1" w14:textId="3C47818A" w:rsidR="000B3BE8" w:rsidRDefault="0006315B" w:rsidP="00D2689D">
      <w:pPr>
        <w:pStyle w:val="BodyText"/>
        <w:spacing w:after="0" w:line="240" w:lineRule="auto"/>
        <w:ind w:left="-806"/>
        <w:rPr>
          <w:sz w:val="24"/>
          <w:szCs w:val="24"/>
        </w:rPr>
      </w:pPr>
      <w:r w:rsidRPr="00B95D5E">
        <w:rPr>
          <w:bCs/>
          <w:sz w:val="24"/>
          <w:szCs w:val="24"/>
        </w:rPr>
        <w:t xml:space="preserve">FMR Volume 13, Chapter </w:t>
      </w:r>
      <w:r w:rsidR="001A6D5C">
        <w:rPr>
          <w:bCs/>
          <w:sz w:val="24"/>
          <w:szCs w:val="24"/>
        </w:rPr>
        <w:t>7</w:t>
      </w:r>
      <w:r w:rsidR="000B3BE8">
        <w:rPr>
          <w:bCs/>
          <w:sz w:val="24"/>
          <w:szCs w:val="24"/>
        </w:rPr>
        <w:t xml:space="preserve">, para. </w:t>
      </w:r>
      <w:r w:rsidR="000B3BE8">
        <w:rPr>
          <w:sz w:val="24"/>
          <w:szCs w:val="24"/>
        </w:rPr>
        <w:t>0</w:t>
      </w:r>
      <w:r w:rsidR="001A6D5C">
        <w:rPr>
          <w:sz w:val="24"/>
          <w:szCs w:val="24"/>
        </w:rPr>
        <w:t>7</w:t>
      </w:r>
      <w:r w:rsidR="000B3BE8">
        <w:rPr>
          <w:sz w:val="24"/>
          <w:szCs w:val="24"/>
        </w:rPr>
        <w:t>0</w:t>
      </w:r>
      <w:r w:rsidR="001A6D5C">
        <w:rPr>
          <w:sz w:val="24"/>
          <w:szCs w:val="24"/>
        </w:rPr>
        <w:t>8</w:t>
      </w:r>
      <w:r w:rsidR="000B3BE8">
        <w:rPr>
          <w:sz w:val="24"/>
          <w:szCs w:val="24"/>
        </w:rPr>
        <w:t>0</w:t>
      </w:r>
      <w:r w:rsidR="001A6D5C">
        <w:rPr>
          <w:sz w:val="24"/>
          <w:szCs w:val="24"/>
        </w:rPr>
        <w:t>3</w:t>
      </w:r>
      <w:r w:rsidR="000B3BE8">
        <w:rPr>
          <w:szCs w:val="22"/>
        </w:rPr>
        <w:t xml:space="preserve"> be revised to conform to new GAAP guidance.</w:t>
      </w:r>
    </w:p>
    <w:p w14:paraId="23772C8D" w14:textId="679560F8" w:rsidR="0006315B" w:rsidRPr="00D2689D" w:rsidRDefault="0006315B" w:rsidP="00D2689D">
      <w:pPr>
        <w:pStyle w:val="BodyText"/>
        <w:spacing w:after="0" w:line="240" w:lineRule="auto"/>
        <w:ind w:left="-806"/>
        <w:rPr>
          <w:bCs/>
          <w:sz w:val="24"/>
          <w:szCs w:val="24"/>
        </w:rPr>
      </w:pPr>
      <w:r w:rsidRPr="00B95D5E">
        <w:rPr>
          <w:sz w:val="24"/>
          <w:szCs w:val="24"/>
        </w:rPr>
        <w:t xml:space="preserve"> </w:t>
      </w:r>
      <w:r w:rsidR="00BA7AF4">
        <w:rPr>
          <w:sz w:val="24"/>
          <w:szCs w:val="24"/>
        </w:rPr>
        <w:t xml:space="preserve"> </w:t>
      </w:r>
      <w:r w:rsidR="00EC6A7F">
        <w:rPr>
          <w:sz w:val="24"/>
          <w:szCs w:val="24"/>
        </w:rPr>
        <w:t xml:space="preserve"> </w:t>
      </w:r>
      <w:r w:rsidR="000D6273">
        <w:rPr>
          <w:sz w:val="24"/>
          <w:szCs w:val="24"/>
        </w:rPr>
        <w:t xml:space="preserve"> </w:t>
      </w:r>
    </w:p>
    <w:p w14:paraId="0FAA5595" w14:textId="063227FA" w:rsidR="0006315B" w:rsidRPr="00EA17A8" w:rsidRDefault="0006315B" w:rsidP="00B73878">
      <w:pPr>
        <w:pStyle w:val="BodyText"/>
        <w:rPr>
          <w:bCs/>
          <w:sz w:val="24"/>
        </w:rPr>
      </w:pPr>
    </w:p>
    <w:p w14:paraId="7A9CC406" w14:textId="77777777" w:rsidR="00207664" w:rsidRDefault="00207664" w:rsidP="00D2689D">
      <w:pPr>
        <w:pStyle w:val="Heading1"/>
        <w:tabs>
          <w:tab w:val="left" w:pos="6675"/>
        </w:tabs>
        <w:spacing w:line="240" w:lineRule="auto"/>
        <w:ind w:left="-2160" w:firstLine="187"/>
        <w:rPr>
          <w:sz w:val="24"/>
        </w:rPr>
      </w:pPr>
      <w:r>
        <w:rPr>
          <w:sz w:val="24"/>
        </w:rPr>
        <w:t>Service Concurrence</w:t>
      </w:r>
    </w:p>
    <w:tbl>
      <w:tblPr>
        <w:tblStyle w:val="TableGrid"/>
        <w:tblW w:w="0" w:type="auto"/>
        <w:tblInd w:w="-1173" w:type="dxa"/>
        <w:tblLook w:val="04A0" w:firstRow="1" w:lastRow="0" w:firstColumn="1" w:lastColumn="0" w:noHBand="0" w:noVBand="1"/>
      </w:tblPr>
      <w:tblGrid>
        <w:gridCol w:w="2065"/>
        <w:gridCol w:w="2883"/>
        <w:gridCol w:w="8460"/>
      </w:tblGrid>
      <w:tr w:rsidR="00207664" w14:paraId="4A5944BB" w14:textId="77777777" w:rsidTr="006A6FAE">
        <w:tc>
          <w:tcPr>
            <w:tcW w:w="206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6B190939" w14:textId="77777777" w:rsidR="00207664" w:rsidRDefault="00207664" w:rsidP="00BF4937">
            <w:pPr>
              <w:pStyle w:val="Heading1"/>
              <w:tabs>
                <w:tab w:val="left" w:pos="6675"/>
              </w:tabs>
              <w:jc w:val="center"/>
              <w:rPr>
                <w:rFonts w:asciiTheme="minorHAnsi" w:hAnsiTheme="minorHAnsi" w:cstheme="majorHAnsi"/>
                <w:color w:val="auto"/>
                <w:sz w:val="24"/>
              </w:rPr>
            </w:pPr>
            <w:r>
              <w:rPr>
                <w:rFonts w:asciiTheme="minorHAnsi" w:hAnsiTheme="minorHAnsi" w:cstheme="majorHAnsi"/>
                <w:color w:val="auto"/>
                <w:sz w:val="24"/>
              </w:rPr>
              <w:t>Service</w:t>
            </w:r>
          </w:p>
        </w:tc>
        <w:tc>
          <w:tcPr>
            <w:tcW w:w="2883"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3A83B10A" w14:textId="77777777" w:rsidR="00207664" w:rsidRDefault="00207664" w:rsidP="00BF4937">
            <w:pPr>
              <w:pStyle w:val="Heading1"/>
              <w:tabs>
                <w:tab w:val="left" w:pos="6675"/>
              </w:tabs>
              <w:jc w:val="center"/>
              <w:rPr>
                <w:rFonts w:asciiTheme="minorHAnsi" w:hAnsiTheme="minorHAnsi" w:cstheme="majorHAnsi"/>
                <w:color w:val="auto"/>
                <w:sz w:val="24"/>
              </w:rPr>
            </w:pPr>
            <w:r>
              <w:rPr>
                <w:rFonts w:asciiTheme="minorHAnsi" w:hAnsiTheme="minorHAnsi" w:cstheme="majorHAnsi"/>
                <w:color w:val="auto"/>
                <w:sz w:val="24"/>
              </w:rPr>
              <w:t>Concurrence</w:t>
            </w:r>
          </w:p>
        </w:tc>
        <w:tc>
          <w:tcPr>
            <w:tcW w:w="8460"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692BA4AC" w14:textId="07FF365E" w:rsidR="00207664" w:rsidRDefault="0016459C" w:rsidP="0016459C">
            <w:pPr>
              <w:pStyle w:val="Heading1"/>
              <w:tabs>
                <w:tab w:val="left" w:pos="6675"/>
              </w:tabs>
              <w:jc w:val="center"/>
              <w:rPr>
                <w:rFonts w:asciiTheme="minorHAnsi" w:hAnsiTheme="minorHAnsi" w:cstheme="majorHAnsi"/>
                <w:color w:val="auto"/>
                <w:sz w:val="24"/>
              </w:rPr>
            </w:pPr>
            <w:r>
              <w:rPr>
                <w:rFonts w:asciiTheme="minorHAnsi" w:hAnsiTheme="minorHAnsi" w:cstheme="majorHAnsi"/>
                <w:color w:val="auto"/>
                <w:sz w:val="24"/>
              </w:rPr>
              <w:t>Reason</w:t>
            </w:r>
            <w:r w:rsidR="00A231AC">
              <w:rPr>
                <w:rFonts w:asciiTheme="minorHAnsi" w:hAnsiTheme="minorHAnsi" w:cstheme="majorHAnsi"/>
                <w:color w:val="auto"/>
                <w:sz w:val="24"/>
              </w:rPr>
              <w:t xml:space="preserve"> for Non-concurrence</w:t>
            </w:r>
          </w:p>
        </w:tc>
      </w:tr>
      <w:tr w:rsidR="00207664" w14:paraId="5EADA945" w14:textId="77777777" w:rsidTr="006A6FAE">
        <w:trPr>
          <w:trHeight w:val="534"/>
        </w:trPr>
        <w:tc>
          <w:tcPr>
            <w:tcW w:w="2065" w:type="dxa"/>
            <w:tcBorders>
              <w:top w:val="single" w:sz="4" w:space="0" w:color="auto"/>
              <w:left w:val="single" w:sz="4" w:space="0" w:color="auto"/>
              <w:bottom w:val="single" w:sz="4" w:space="0" w:color="auto"/>
              <w:right w:val="single" w:sz="4" w:space="0" w:color="auto"/>
            </w:tcBorders>
            <w:hideMark/>
          </w:tcPr>
          <w:p w14:paraId="5DAEA980" w14:textId="77777777" w:rsidR="00207664" w:rsidRDefault="00207664" w:rsidP="00BF4937">
            <w:pPr>
              <w:pStyle w:val="Heading1"/>
              <w:tabs>
                <w:tab w:val="left" w:pos="6675"/>
              </w:tabs>
              <w:rPr>
                <w:rFonts w:asciiTheme="minorHAnsi" w:hAnsiTheme="minorHAnsi" w:cstheme="majorHAnsi"/>
                <w:color w:val="auto"/>
                <w:sz w:val="24"/>
              </w:rPr>
            </w:pPr>
            <w:r>
              <w:rPr>
                <w:rFonts w:asciiTheme="minorHAnsi" w:hAnsiTheme="minorHAnsi" w:cstheme="majorHAnsi"/>
                <w:color w:val="auto"/>
                <w:sz w:val="24"/>
              </w:rPr>
              <w:t>Air Force</w:t>
            </w:r>
          </w:p>
        </w:tc>
        <w:tc>
          <w:tcPr>
            <w:tcW w:w="2883" w:type="dxa"/>
            <w:tcBorders>
              <w:top w:val="single" w:sz="4" w:space="0" w:color="auto"/>
              <w:left w:val="single" w:sz="4" w:space="0" w:color="auto"/>
              <w:bottom w:val="single" w:sz="4" w:space="0" w:color="auto"/>
              <w:right w:val="single" w:sz="4" w:space="0" w:color="auto"/>
            </w:tcBorders>
          </w:tcPr>
          <w:p w14:paraId="5A788DDF" w14:textId="77777777" w:rsidR="00207664" w:rsidRDefault="000B3BE8" w:rsidP="00135D79">
            <w:pPr>
              <w:pStyle w:val="Heading1"/>
              <w:tabs>
                <w:tab w:val="left" w:pos="6675"/>
              </w:tabs>
              <w:rPr>
                <w:rFonts w:asciiTheme="minorHAnsi" w:hAnsiTheme="minorHAnsi" w:cstheme="majorHAnsi"/>
                <w:color w:val="auto"/>
                <w:sz w:val="24"/>
                <w:szCs w:val="24"/>
              </w:rPr>
            </w:pPr>
            <w:r w:rsidRPr="006A6FAE">
              <w:rPr>
                <w:rFonts w:asciiTheme="minorHAnsi" w:hAnsiTheme="minorHAnsi" w:cstheme="majorHAnsi"/>
                <w:color w:val="auto"/>
                <w:sz w:val="24"/>
                <w:szCs w:val="24"/>
              </w:rPr>
              <w:t>Concurrence on 3/13/2018</w:t>
            </w:r>
            <w:r w:rsidR="006A6FAE">
              <w:rPr>
                <w:rFonts w:asciiTheme="minorHAnsi" w:hAnsiTheme="minorHAnsi" w:cstheme="majorHAnsi"/>
                <w:color w:val="auto"/>
                <w:sz w:val="24"/>
                <w:szCs w:val="24"/>
              </w:rPr>
              <w:t>.</w:t>
            </w:r>
          </w:p>
          <w:p w14:paraId="10A97F1A" w14:textId="1DE48AD2" w:rsidR="006A6FAE" w:rsidRPr="006A6FAE" w:rsidRDefault="006A6FAE" w:rsidP="006A6FAE">
            <w:pPr>
              <w:pStyle w:val="BodyText"/>
              <w:spacing w:after="0"/>
              <w:rPr>
                <w:b/>
              </w:rPr>
            </w:pPr>
            <w:r w:rsidRPr="006A6FAE">
              <w:rPr>
                <w:b/>
              </w:rPr>
              <w:t>Re-concurred 10/19/2018.</w:t>
            </w:r>
          </w:p>
        </w:tc>
        <w:tc>
          <w:tcPr>
            <w:tcW w:w="8460" w:type="dxa"/>
            <w:tcBorders>
              <w:top w:val="single" w:sz="4" w:space="0" w:color="auto"/>
              <w:left w:val="single" w:sz="4" w:space="0" w:color="auto"/>
              <w:bottom w:val="single" w:sz="4" w:space="0" w:color="auto"/>
              <w:right w:val="single" w:sz="4" w:space="0" w:color="auto"/>
            </w:tcBorders>
          </w:tcPr>
          <w:p w14:paraId="517DB5A0" w14:textId="1D100E51" w:rsidR="00207664" w:rsidRPr="00FA4F39" w:rsidRDefault="00207664" w:rsidP="00BF4937">
            <w:pPr>
              <w:pStyle w:val="Heading1"/>
              <w:tabs>
                <w:tab w:val="left" w:pos="6675"/>
              </w:tabs>
              <w:rPr>
                <w:rFonts w:asciiTheme="minorHAnsi" w:hAnsiTheme="minorHAnsi" w:cstheme="majorHAnsi"/>
                <w:color w:val="FF0000"/>
                <w:sz w:val="24"/>
              </w:rPr>
            </w:pPr>
          </w:p>
        </w:tc>
      </w:tr>
      <w:tr w:rsidR="00207664" w14:paraId="099E4A5A" w14:textId="77777777" w:rsidTr="006A6FAE">
        <w:trPr>
          <w:trHeight w:val="534"/>
        </w:trPr>
        <w:tc>
          <w:tcPr>
            <w:tcW w:w="2065" w:type="dxa"/>
            <w:tcBorders>
              <w:top w:val="single" w:sz="4" w:space="0" w:color="auto"/>
              <w:left w:val="single" w:sz="4" w:space="0" w:color="auto"/>
              <w:bottom w:val="single" w:sz="4" w:space="0" w:color="auto"/>
              <w:right w:val="single" w:sz="4" w:space="0" w:color="auto"/>
            </w:tcBorders>
            <w:hideMark/>
          </w:tcPr>
          <w:p w14:paraId="4743965B" w14:textId="77777777" w:rsidR="00207664" w:rsidRDefault="00207664" w:rsidP="00BF4937">
            <w:pPr>
              <w:pStyle w:val="Heading1"/>
              <w:tabs>
                <w:tab w:val="left" w:pos="6675"/>
              </w:tabs>
              <w:rPr>
                <w:rFonts w:asciiTheme="minorHAnsi" w:hAnsiTheme="minorHAnsi" w:cstheme="majorHAnsi"/>
                <w:color w:val="auto"/>
                <w:sz w:val="24"/>
              </w:rPr>
            </w:pPr>
            <w:r>
              <w:rPr>
                <w:rFonts w:asciiTheme="minorHAnsi" w:hAnsiTheme="minorHAnsi" w:cstheme="majorHAnsi"/>
                <w:color w:val="auto"/>
                <w:sz w:val="24"/>
              </w:rPr>
              <w:t>Army</w:t>
            </w:r>
          </w:p>
        </w:tc>
        <w:tc>
          <w:tcPr>
            <w:tcW w:w="2883" w:type="dxa"/>
            <w:tcBorders>
              <w:top w:val="single" w:sz="4" w:space="0" w:color="auto"/>
              <w:left w:val="single" w:sz="4" w:space="0" w:color="auto"/>
              <w:bottom w:val="single" w:sz="4" w:space="0" w:color="auto"/>
              <w:right w:val="single" w:sz="4" w:space="0" w:color="auto"/>
            </w:tcBorders>
          </w:tcPr>
          <w:p w14:paraId="5E909DB5" w14:textId="77777777" w:rsidR="00207664" w:rsidRDefault="000B3BE8" w:rsidP="00BF4937">
            <w:pPr>
              <w:pStyle w:val="Heading1"/>
              <w:tabs>
                <w:tab w:val="left" w:pos="6675"/>
              </w:tabs>
              <w:rPr>
                <w:rFonts w:asciiTheme="minorHAnsi" w:hAnsiTheme="minorHAnsi" w:cstheme="majorHAnsi"/>
                <w:color w:val="auto"/>
                <w:sz w:val="24"/>
                <w:szCs w:val="24"/>
              </w:rPr>
            </w:pPr>
            <w:r w:rsidRPr="006A6FAE">
              <w:rPr>
                <w:rFonts w:asciiTheme="minorHAnsi" w:hAnsiTheme="minorHAnsi" w:cstheme="majorHAnsi"/>
                <w:color w:val="auto"/>
                <w:sz w:val="24"/>
                <w:szCs w:val="24"/>
              </w:rPr>
              <w:t>Concurrence on 3/13/2018</w:t>
            </w:r>
            <w:r w:rsidR="006A6FAE">
              <w:rPr>
                <w:rFonts w:asciiTheme="minorHAnsi" w:hAnsiTheme="minorHAnsi" w:cstheme="majorHAnsi"/>
                <w:color w:val="auto"/>
                <w:sz w:val="24"/>
                <w:szCs w:val="24"/>
              </w:rPr>
              <w:t>.</w:t>
            </w:r>
          </w:p>
          <w:p w14:paraId="06EBF62E" w14:textId="5E8A0F24" w:rsidR="006A6FAE" w:rsidRPr="006A6FAE" w:rsidRDefault="006A6FAE" w:rsidP="006A6FAE">
            <w:pPr>
              <w:pStyle w:val="BodyText"/>
              <w:spacing w:after="0"/>
              <w:rPr>
                <w:b/>
              </w:rPr>
            </w:pPr>
            <w:r w:rsidRPr="006A6FAE">
              <w:rPr>
                <w:b/>
              </w:rPr>
              <w:t>Re-concurred 11/2/2018.</w:t>
            </w:r>
          </w:p>
        </w:tc>
        <w:tc>
          <w:tcPr>
            <w:tcW w:w="8460" w:type="dxa"/>
            <w:tcBorders>
              <w:top w:val="single" w:sz="4" w:space="0" w:color="auto"/>
              <w:left w:val="single" w:sz="4" w:space="0" w:color="auto"/>
              <w:bottom w:val="single" w:sz="4" w:space="0" w:color="auto"/>
              <w:right w:val="single" w:sz="4" w:space="0" w:color="auto"/>
            </w:tcBorders>
          </w:tcPr>
          <w:p w14:paraId="25500360" w14:textId="7C38AAAB" w:rsidR="00207664" w:rsidRPr="00FA4F39" w:rsidRDefault="00207664" w:rsidP="00BF4937">
            <w:pPr>
              <w:pStyle w:val="Heading1"/>
              <w:tabs>
                <w:tab w:val="left" w:pos="6675"/>
              </w:tabs>
              <w:rPr>
                <w:rFonts w:asciiTheme="minorHAnsi" w:hAnsiTheme="minorHAnsi" w:cstheme="majorHAnsi"/>
                <w:color w:val="FF0000"/>
                <w:sz w:val="24"/>
              </w:rPr>
            </w:pPr>
          </w:p>
        </w:tc>
      </w:tr>
      <w:tr w:rsidR="00207664" w14:paraId="6C1C1F0C" w14:textId="77777777" w:rsidTr="006A6FAE">
        <w:trPr>
          <w:trHeight w:val="525"/>
        </w:trPr>
        <w:tc>
          <w:tcPr>
            <w:tcW w:w="2065" w:type="dxa"/>
            <w:tcBorders>
              <w:top w:val="single" w:sz="4" w:space="0" w:color="auto"/>
              <w:left w:val="single" w:sz="4" w:space="0" w:color="auto"/>
              <w:bottom w:val="single" w:sz="4" w:space="0" w:color="auto"/>
              <w:right w:val="single" w:sz="4" w:space="0" w:color="auto"/>
            </w:tcBorders>
            <w:hideMark/>
          </w:tcPr>
          <w:p w14:paraId="18971552" w14:textId="77777777" w:rsidR="00207664" w:rsidRDefault="00207664" w:rsidP="00BF4937">
            <w:pPr>
              <w:pStyle w:val="Heading1"/>
              <w:tabs>
                <w:tab w:val="left" w:pos="6675"/>
              </w:tabs>
              <w:rPr>
                <w:rFonts w:asciiTheme="minorHAnsi" w:hAnsiTheme="minorHAnsi" w:cstheme="majorHAnsi"/>
                <w:color w:val="auto"/>
                <w:sz w:val="24"/>
              </w:rPr>
            </w:pPr>
            <w:r>
              <w:rPr>
                <w:rFonts w:asciiTheme="minorHAnsi" w:hAnsiTheme="minorHAnsi" w:cstheme="majorHAnsi"/>
                <w:color w:val="auto"/>
                <w:sz w:val="24"/>
              </w:rPr>
              <w:t xml:space="preserve">Marines </w:t>
            </w:r>
          </w:p>
        </w:tc>
        <w:tc>
          <w:tcPr>
            <w:tcW w:w="2883" w:type="dxa"/>
            <w:tcBorders>
              <w:top w:val="single" w:sz="4" w:space="0" w:color="auto"/>
              <w:left w:val="single" w:sz="4" w:space="0" w:color="auto"/>
              <w:bottom w:val="single" w:sz="4" w:space="0" w:color="auto"/>
              <w:right w:val="single" w:sz="4" w:space="0" w:color="auto"/>
            </w:tcBorders>
          </w:tcPr>
          <w:p w14:paraId="5AC38205" w14:textId="77777777" w:rsidR="00207664" w:rsidRDefault="000B3BE8" w:rsidP="00BF4937">
            <w:pPr>
              <w:pStyle w:val="Heading1"/>
              <w:tabs>
                <w:tab w:val="left" w:pos="6675"/>
              </w:tabs>
              <w:rPr>
                <w:rFonts w:asciiTheme="minorHAnsi" w:hAnsiTheme="minorHAnsi" w:cstheme="majorHAnsi"/>
                <w:color w:val="auto"/>
                <w:sz w:val="24"/>
                <w:szCs w:val="24"/>
              </w:rPr>
            </w:pPr>
            <w:r w:rsidRPr="006A6FAE">
              <w:rPr>
                <w:rFonts w:asciiTheme="minorHAnsi" w:hAnsiTheme="minorHAnsi" w:cstheme="majorHAnsi"/>
                <w:color w:val="auto"/>
                <w:sz w:val="24"/>
                <w:szCs w:val="24"/>
              </w:rPr>
              <w:t>Concurrence on 3/13/2018</w:t>
            </w:r>
            <w:r w:rsidR="006A6FAE">
              <w:rPr>
                <w:rFonts w:asciiTheme="minorHAnsi" w:hAnsiTheme="minorHAnsi" w:cstheme="majorHAnsi"/>
                <w:color w:val="auto"/>
                <w:sz w:val="24"/>
                <w:szCs w:val="24"/>
              </w:rPr>
              <w:t>.</w:t>
            </w:r>
          </w:p>
          <w:p w14:paraId="7719AE39" w14:textId="5DE2EB0F" w:rsidR="006A6FAE" w:rsidRPr="006A6FAE" w:rsidRDefault="006A6FAE" w:rsidP="006A6FAE">
            <w:pPr>
              <w:pStyle w:val="BodyText"/>
              <w:spacing w:after="0"/>
              <w:rPr>
                <w:b/>
              </w:rPr>
            </w:pPr>
            <w:r w:rsidRPr="006A6FAE">
              <w:rPr>
                <w:b/>
              </w:rPr>
              <w:t>Re-concurred 10/31/2018.</w:t>
            </w:r>
          </w:p>
        </w:tc>
        <w:tc>
          <w:tcPr>
            <w:tcW w:w="8460" w:type="dxa"/>
            <w:tcBorders>
              <w:top w:val="single" w:sz="4" w:space="0" w:color="auto"/>
              <w:left w:val="single" w:sz="4" w:space="0" w:color="auto"/>
              <w:bottom w:val="single" w:sz="4" w:space="0" w:color="auto"/>
              <w:right w:val="single" w:sz="4" w:space="0" w:color="auto"/>
            </w:tcBorders>
          </w:tcPr>
          <w:p w14:paraId="2F3DACD4" w14:textId="1712D8F9" w:rsidR="00207664" w:rsidRPr="00FA4F39" w:rsidRDefault="00207664" w:rsidP="00BF4937">
            <w:pPr>
              <w:pStyle w:val="Heading1"/>
              <w:tabs>
                <w:tab w:val="left" w:pos="6675"/>
              </w:tabs>
              <w:rPr>
                <w:rFonts w:asciiTheme="minorHAnsi" w:hAnsiTheme="minorHAnsi" w:cstheme="majorHAnsi"/>
                <w:color w:val="FF0000"/>
                <w:sz w:val="24"/>
              </w:rPr>
            </w:pPr>
          </w:p>
        </w:tc>
      </w:tr>
      <w:tr w:rsidR="00207664" w14:paraId="52B048EF" w14:textId="77777777" w:rsidTr="006A6FAE">
        <w:trPr>
          <w:trHeight w:val="534"/>
        </w:trPr>
        <w:tc>
          <w:tcPr>
            <w:tcW w:w="2065" w:type="dxa"/>
            <w:tcBorders>
              <w:top w:val="single" w:sz="4" w:space="0" w:color="auto"/>
              <w:left w:val="single" w:sz="4" w:space="0" w:color="auto"/>
              <w:bottom w:val="single" w:sz="4" w:space="0" w:color="auto"/>
              <w:right w:val="single" w:sz="4" w:space="0" w:color="auto"/>
            </w:tcBorders>
            <w:hideMark/>
          </w:tcPr>
          <w:p w14:paraId="0DE00DFE" w14:textId="77777777" w:rsidR="00207664" w:rsidRDefault="00207664" w:rsidP="00BF4937">
            <w:pPr>
              <w:pStyle w:val="Heading1"/>
              <w:tabs>
                <w:tab w:val="left" w:pos="6675"/>
              </w:tabs>
              <w:rPr>
                <w:rFonts w:asciiTheme="minorHAnsi" w:hAnsiTheme="minorHAnsi" w:cstheme="majorHAnsi"/>
                <w:color w:val="auto"/>
                <w:sz w:val="24"/>
              </w:rPr>
            </w:pPr>
            <w:r>
              <w:rPr>
                <w:rFonts w:asciiTheme="minorHAnsi" w:hAnsiTheme="minorHAnsi" w:cstheme="majorHAnsi"/>
                <w:color w:val="auto"/>
                <w:sz w:val="24"/>
              </w:rPr>
              <w:t>Navy</w:t>
            </w:r>
          </w:p>
        </w:tc>
        <w:tc>
          <w:tcPr>
            <w:tcW w:w="2883" w:type="dxa"/>
            <w:tcBorders>
              <w:top w:val="single" w:sz="4" w:space="0" w:color="auto"/>
              <w:left w:val="single" w:sz="4" w:space="0" w:color="auto"/>
              <w:bottom w:val="single" w:sz="4" w:space="0" w:color="auto"/>
              <w:right w:val="single" w:sz="4" w:space="0" w:color="auto"/>
            </w:tcBorders>
          </w:tcPr>
          <w:p w14:paraId="4F097B3D" w14:textId="226F1287" w:rsidR="00207664" w:rsidRDefault="000B3BE8" w:rsidP="00BF4937">
            <w:pPr>
              <w:pStyle w:val="Heading1"/>
              <w:tabs>
                <w:tab w:val="left" w:pos="6675"/>
              </w:tabs>
              <w:rPr>
                <w:rFonts w:asciiTheme="minorHAnsi" w:hAnsiTheme="minorHAnsi" w:cstheme="majorHAnsi"/>
                <w:color w:val="auto"/>
                <w:sz w:val="24"/>
                <w:szCs w:val="24"/>
              </w:rPr>
            </w:pPr>
            <w:r w:rsidRPr="006A6FAE">
              <w:rPr>
                <w:rFonts w:asciiTheme="minorHAnsi" w:hAnsiTheme="minorHAnsi" w:cstheme="majorHAnsi"/>
                <w:color w:val="auto"/>
                <w:sz w:val="24"/>
                <w:szCs w:val="24"/>
              </w:rPr>
              <w:t>Concurrence on 3/13/2018</w:t>
            </w:r>
            <w:r w:rsidR="006A6FAE">
              <w:rPr>
                <w:rFonts w:asciiTheme="minorHAnsi" w:hAnsiTheme="minorHAnsi" w:cstheme="majorHAnsi"/>
                <w:color w:val="auto"/>
                <w:sz w:val="24"/>
                <w:szCs w:val="24"/>
              </w:rPr>
              <w:t>.</w:t>
            </w:r>
          </w:p>
          <w:p w14:paraId="67857BD9" w14:textId="6850C1F3" w:rsidR="006A6FAE" w:rsidRPr="006A6FAE" w:rsidRDefault="006A6FAE" w:rsidP="006A6FAE">
            <w:pPr>
              <w:pStyle w:val="BodyText"/>
              <w:spacing w:after="0"/>
              <w:rPr>
                <w:b/>
              </w:rPr>
            </w:pPr>
            <w:r w:rsidRPr="006A6FAE">
              <w:rPr>
                <w:b/>
              </w:rPr>
              <w:t>Re-concurred 11/2/2018.</w:t>
            </w:r>
          </w:p>
        </w:tc>
        <w:tc>
          <w:tcPr>
            <w:tcW w:w="8460" w:type="dxa"/>
            <w:tcBorders>
              <w:top w:val="single" w:sz="4" w:space="0" w:color="auto"/>
              <w:left w:val="single" w:sz="4" w:space="0" w:color="auto"/>
              <w:bottom w:val="single" w:sz="4" w:space="0" w:color="auto"/>
              <w:right w:val="single" w:sz="4" w:space="0" w:color="auto"/>
            </w:tcBorders>
          </w:tcPr>
          <w:p w14:paraId="06ED24FA" w14:textId="049E1D04" w:rsidR="00207664" w:rsidRPr="00CE3239" w:rsidRDefault="00207664" w:rsidP="00DA22AB">
            <w:pPr>
              <w:pStyle w:val="Heading1"/>
              <w:tabs>
                <w:tab w:val="left" w:pos="6675"/>
              </w:tabs>
              <w:rPr>
                <w:rFonts w:asciiTheme="minorHAnsi" w:hAnsiTheme="minorHAnsi" w:cstheme="majorHAnsi"/>
                <w:color w:val="auto"/>
                <w:sz w:val="24"/>
              </w:rPr>
            </w:pPr>
          </w:p>
        </w:tc>
      </w:tr>
    </w:tbl>
    <w:p w14:paraId="4FEAE8EB" w14:textId="77777777" w:rsidR="00207664" w:rsidRDefault="00207664" w:rsidP="00207664">
      <w:pPr>
        <w:pStyle w:val="Heading1"/>
        <w:tabs>
          <w:tab w:val="left" w:pos="6675"/>
        </w:tabs>
        <w:ind w:left="-2160" w:firstLine="180"/>
        <w:rPr>
          <w:sz w:val="24"/>
        </w:rPr>
      </w:pPr>
    </w:p>
    <w:p w14:paraId="1E99C8A1" w14:textId="77777777" w:rsidR="005B00F8" w:rsidRDefault="005B00F8" w:rsidP="005B00F8">
      <w:pPr>
        <w:pStyle w:val="Heading1"/>
        <w:tabs>
          <w:tab w:val="left" w:pos="6675"/>
        </w:tabs>
        <w:ind w:left="-2160" w:firstLine="180"/>
        <w:rPr>
          <w:sz w:val="24"/>
        </w:rPr>
      </w:pPr>
      <w:r>
        <w:rPr>
          <w:sz w:val="24"/>
        </w:rPr>
        <w:t>USD(P&amp;R)/MC&amp;FP Disposition</w:t>
      </w:r>
    </w:p>
    <w:p w14:paraId="45CF01EC" w14:textId="2EDD9050" w:rsidR="006A6FAE" w:rsidRPr="00932F0A" w:rsidRDefault="006A6FAE" w:rsidP="006A6FAE">
      <w:pPr>
        <w:pStyle w:val="ChapterTitle"/>
        <w:rPr>
          <w:rFonts w:asciiTheme="minorHAnsi" w:hAnsiTheme="minorHAnsi"/>
          <w:sz w:val="24"/>
        </w:rPr>
      </w:pPr>
      <w:r w:rsidRPr="00932F0A">
        <w:rPr>
          <w:rFonts w:asciiTheme="minorHAnsi" w:hAnsiTheme="minorHAnsi"/>
          <w:sz w:val="24"/>
        </w:rPr>
        <w:t xml:space="preserve">Revise </w:t>
      </w:r>
      <w:r>
        <w:rPr>
          <w:rFonts w:asciiTheme="minorHAnsi" w:hAnsiTheme="minorHAnsi"/>
          <w:sz w:val="24"/>
        </w:rPr>
        <w:t>the next version of the NAFSGL (3.0).</w:t>
      </w:r>
      <w:r w:rsidRPr="00932F0A">
        <w:rPr>
          <w:rFonts w:asciiTheme="minorHAnsi" w:hAnsiTheme="minorHAnsi"/>
          <w:sz w:val="24"/>
        </w:rPr>
        <w:t xml:space="preserve"> </w:t>
      </w:r>
    </w:p>
    <w:p w14:paraId="3675A277" w14:textId="4FE13638" w:rsidR="005B00F8" w:rsidRDefault="005B00F8" w:rsidP="005B00F8">
      <w:pPr>
        <w:rPr>
          <w:sz w:val="24"/>
        </w:rPr>
      </w:pPr>
    </w:p>
    <w:p w14:paraId="59E6712B" w14:textId="77777777" w:rsidR="005B00F8" w:rsidRDefault="005B00F8" w:rsidP="005B00F8">
      <w:pPr>
        <w:ind w:left="-1980"/>
        <w:rPr>
          <w:rFonts w:ascii="Arial Black" w:hAnsi="Arial Black"/>
          <w:b/>
          <w:color w:val="4F2D7F"/>
          <w:sz w:val="24"/>
        </w:rPr>
      </w:pPr>
      <w:r>
        <w:rPr>
          <w:rFonts w:ascii="Arial Black" w:hAnsi="Arial Black"/>
          <w:b/>
          <w:color w:val="4F2D7F"/>
          <w:sz w:val="24"/>
        </w:rPr>
        <w:t>DFAS Disposition</w:t>
      </w:r>
    </w:p>
    <w:p w14:paraId="4BB013E9" w14:textId="0177E17F" w:rsidR="006A6FAE" w:rsidRPr="00932F0A" w:rsidRDefault="006A6FAE" w:rsidP="006A6FAE">
      <w:pPr>
        <w:pStyle w:val="ChapterTitle"/>
        <w:rPr>
          <w:rFonts w:asciiTheme="minorHAnsi" w:hAnsiTheme="minorHAnsi"/>
          <w:sz w:val="24"/>
        </w:rPr>
      </w:pPr>
      <w:r w:rsidRPr="00932F0A">
        <w:rPr>
          <w:rFonts w:asciiTheme="minorHAnsi" w:hAnsiTheme="minorHAnsi"/>
          <w:sz w:val="24"/>
        </w:rPr>
        <w:t xml:space="preserve">Revise </w:t>
      </w:r>
      <w:r>
        <w:rPr>
          <w:rFonts w:asciiTheme="minorHAnsi" w:hAnsiTheme="minorHAnsi"/>
          <w:sz w:val="24"/>
        </w:rPr>
        <w:t xml:space="preserve">FMR Volume 13, Chapter </w:t>
      </w:r>
      <w:r w:rsidR="001A6D5C">
        <w:rPr>
          <w:rFonts w:asciiTheme="minorHAnsi" w:hAnsiTheme="minorHAnsi"/>
          <w:sz w:val="24"/>
        </w:rPr>
        <w:t>7</w:t>
      </w:r>
      <w:r>
        <w:rPr>
          <w:rFonts w:asciiTheme="minorHAnsi" w:hAnsiTheme="minorHAnsi"/>
          <w:sz w:val="24"/>
        </w:rPr>
        <w:t>, para. 0</w:t>
      </w:r>
      <w:r w:rsidR="001A6D5C">
        <w:rPr>
          <w:rFonts w:asciiTheme="minorHAnsi" w:hAnsiTheme="minorHAnsi"/>
          <w:sz w:val="24"/>
        </w:rPr>
        <w:t>7</w:t>
      </w:r>
      <w:r>
        <w:rPr>
          <w:rFonts w:asciiTheme="minorHAnsi" w:hAnsiTheme="minorHAnsi"/>
          <w:sz w:val="24"/>
        </w:rPr>
        <w:t>0</w:t>
      </w:r>
      <w:r w:rsidR="001A6D5C">
        <w:rPr>
          <w:rFonts w:asciiTheme="minorHAnsi" w:hAnsiTheme="minorHAnsi"/>
          <w:sz w:val="24"/>
        </w:rPr>
        <w:t>8</w:t>
      </w:r>
      <w:r>
        <w:rPr>
          <w:rFonts w:asciiTheme="minorHAnsi" w:hAnsiTheme="minorHAnsi"/>
          <w:sz w:val="24"/>
        </w:rPr>
        <w:t>0</w:t>
      </w:r>
      <w:r w:rsidR="001A6D5C">
        <w:rPr>
          <w:rFonts w:asciiTheme="minorHAnsi" w:hAnsiTheme="minorHAnsi"/>
          <w:sz w:val="24"/>
        </w:rPr>
        <w:t>3</w:t>
      </w:r>
      <w:r>
        <w:rPr>
          <w:rFonts w:asciiTheme="minorHAnsi" w:hAnsiTheme="minorHAnsi"/>
          <w:sz w:val="24"/>
        </w:rPr>
        <w:t>.</w:t>
      </w:r>
      <w:r w:rsidRPr="00932F0A">
        <w:rPr>
          <w:rFonts w:asciiTheme="minorHAnsi" w:hAnsiTheme="minorHAnsi"/>
          <w:sz w:val="24"/>
        </w:rPr>
        <w:t xml:space="preserve"> </w:t>
      </w:r>
    </w:p>
    <w:p w14:paraId="53B882E2" w14:textId="79E1E30E" w:rsidR="005B00F8" w:rsidRPr="007B3038" w:rsidRDefault="005B00F8" w:rsidP="005B00F8">
      <w:pPr>
        <w:rPr>
          <w:sz w:val="24"/>
        </w:rPr>
      </w:pPr>
      <w:r w:rsidRPr="007B3038">
        <w:rPr>
          <w:sz w:val="24"/>
        </w:rPr>
        <w:t xml:space="preserve">       </w:t>
      </w:r>
    </w:p>
    <w:p w14:paraId="6882086B" w14:textId="77777777" w:rsidR="005B00F8" w:rsidRDefault="005B00F8" w:rsidP="005B00F8">
      <w:pPr>
        <w:pStyle w:val="Heading1"/>
        <w:tabs>
          <w:tab w:val="left" w:pos="6675"/>
        </w:tabs>
        <w:ind w:left="-2160" w:firstLine="180"/>
        <w:rPr>
          <w:sz w:val="24"/>
        </w:rPr>
      </w:pPr>
      <w:r>
        <w:rPr>
          <w:sz w:val="24"/>
        </w:rPr>
        <w:t>Forward to</w:t>
      </w:r>
      <w:r w:rsidRPr="007B3038">
        <w:rPr>
          <w:sz w:val="24"/>
        </w:rPr>
        <w:t xml:space="preserve"> DoD</w:t>
      </w:r>
      <w:r>
        <w:rPr>
          <w:sz w:val="24"/>
        </w:rPr>
        <w:t>IG</w:t>
      </w:r>
      <w:r w:rsidRPr="007B3038">
        <w:rPr>
          <w:sz w:val="24"/>
        </w:rPr>
        <w:t>?</w:t>
      </w:r>
    </w:p>
    <w:p w14:paraId="10316D40" w14:textId="77777777" w:rsidR="006A6FAE" w:rsidRPr="00932F0A" w:rsidRDefault="006A6FAE" w:rsidP="006A6FAE">
      <w:pPr>
        <w:pStyle w:val="ChapterTitle"/>
        <w:rPr>
          <w:rFonts w:asciiTheme="minorHAnsi" w:hAnsiTheme="minorHAnsi"/>
          <w:sz w:val="24"/>
        </w:rPr>
      </w:pPr>
      <w:r w:rsidRPr="00932F0A">
        <w:rPr>
          <w:rFonts w:asciiTheme="minorHAnsi" w:hAnsiTheme="minorHAnsi"/>
          <w:sz w:val="24"/>
        </w:rPr>
        <w:t>No DoDIG equities</w:t>
      </w:r>
      <w:r>
        <w:rPr>
          <w:rFonts w:asciiTheme="minorHAnsi" w:hAnsiTheme="minorHAnsi"/>
          <w:sz w:val="24"/>
        </w:rPr>
        <w:t>.</w:t>
      </w:r>
    </w:p>
    <w:p w14:paraId="3952A2AD" w14:textId="77777777" w:rsidR="00207664" w:rsidRPr="00F47C97" w:rsidRDefault="00207664" w:rsidP="00207664">
      <w:pPr>
        <w:pStyle w:val="Heading1"/>
        <w:tabs>
          <w:tab w:val="left" w:pos="6675"/>
        </w:tabs>
        <w:ind w:left="-2160" w:firstLine="180"/>
        <w:rPr>
          <w:sz w:val="24"/>
        </w:rPr>
      </w:pPr>
    </w:p>
    <w:p w14:paraId="3237A496" w14:textId="77777777" w:rsidR="00207664" w:rsidRDefault="00207664" w:rsidP="00207664">
      <w:pPr>
        <w:ind w:left="-810"/>
        <w:rPr>
          <w:sz w:val="24"/>
        </w:rPr>
      </w:pPr>
    </w:p>
    <w:sectPr w:rsidR="00207664" w:rsidSect="00BB5F9B">
      <w:headerReference w:type="default" r:id="rId11"/>
      <w:footerReference w:type="default" r:id="rId12"/>
      <w:pgSz w:w="15840" w:h="12240" w:orient="landscape" w:code="1"/>
      <w:pgMar w:top="1985" w:right="821" w:bottom="1138" w:left="2608" w:header="720" w:footer="57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0B7EF3" w14:textId="77777777" w:rsidR="00544F2A" w:rsidRDefault="00544F2A">
      <w:r>
        <w:separator/>
      </w:r>
    </w:p>
  </w:endnote>
  <w:endnote w:type="continuationSeparator" w:id="0">
    <w:p w14:paraId="13C052CB" w14:textId="77777777" w:rsidR="00544F2A" w:rsidRDefault="00544F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0420940"/>
      <w:docPartObj>
        <w:docPartGallery w:val="Page Numbers (Bottom of Page)"/>
        <w:docPartUnique/>
      </w:docPartObj>
    </w:sdtPr>
    <w:sdtEndPr>
      <w:rPr>
        <w:noProof/>
      </w:rPr>
    </w:sdtEndPr>
    <w:sdtContent>
      <w:p w14:paraId="48FADB89" w14:textId="1DA11058" w:rsidR="00916522" w:rsidRDefault="008968CA" w:rsidP="00916522">
        <w:pPr>
          <w:pStyle w:val="Footer"/>
          <w:jc w:val="right"/>
          <w:rPr>
            <w:noProof/>
          </w:rPr>
        </w:pPr>
        <w:r>
          <w:fldChar w:fldCharType="begin"/>
        </w:r>
        <w:r>
          <w:instrText xml:space="preserve"> PAGE   \* MERGEFORMAT </w:instrText>
        </w:r>
        <w:r>
          <w:fldChar w:fldCharType="separate"/>
        </w:r>
        <w:r w:rsidR="00C32F32">
          <w:rPr>
            <w:noProof/>
          </w:rPr>
          <w:t>4</w:t>
        </w:r>
        <w:r>
          <w:rPr>
            <w:noProof/>
          </w:rPr>
          <w:fldChar w:fldCharType="end"/>
        </w:r>
      </w:p>
      <w:p w14:paraId="5AC4E8F7" w14:textId="01E4F8C7" w:rsidR="00834B9A" w:rsidRDefault="005B00F8" w:rsidP="000D6273">
        <w:pPr>
          <w:pStyle w:val="Footer"/>
          <w:jc w:val="right"/>
          <w:rPr>
            <w:noProof/>
          </w:rPr>
        </w:pPr>
        <w:r>
          <w:rPr>
            <w:noProof/>
          </w:rPr>
          <w:t>September 11,</w:t>
        </w:r>
        <w:r w:rsidR="000D6273">
          <w:rPr>
            <w:noProof/>
          </w:rPr>
          <w:t xml:space="preserve"> 2018</w:t>
        </w:r>
      </w:p>
    </w:sdtContent>
  </w:sdt>
  <w:p w14:paraId="4F2A2F89" w14:textId="77777777" w:rsidR="00834B9A" w:rsidRDefault="00C32F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15CFA5" w14:textId="77777777" w:rsidR="00544F2A" w:rsidRDefault="00544F2A">
      <w:r>
        <w:separator/>
      </w:r>
    </w:p>
  </w:footnote>
  <w:footnote w:type="continuationSeparator" w:id="0">
    <w:p w14:paraId="520375F1" w14:textId="77777777" w:rsidR="00544F2A" w:rsidRDefault="00544F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721F9B" w14:textId="77777777" w:rsidR="00684AB9" w:rsidRDefault="00684AB9" w:rsidP="000D6273">
    <w:pPr>
      <w:pStyle w:val="Header"/>
      <w:tabs>
        <w:tab w:val="clear" w:pos="8562"/>
      </w:tabs>
      <w:ind w:right="1440"/>
      <w:jc w:val="center"/>
      <w:rPr>
        <w:rFonts w:asciiTheme="minorHAnsi" w:hAnsiTheme="minorHAnsi"/>
        <w:sz w:val="32"/>
      </w:rPr>
    </w:pPr>
    <w:r>
      <w:rPr>
        <w:rFonts w:asciiTheme="minorHAnsi" w:hAnsiTheme="minorHAnsi"/>
        <w:sz w:val="32"/>
      </w:rPr>
      <w:t>NAF Accounting Working Group</w:t>
    </w:r>
  </w:p>
  <w:p w14:paraId="2CDBF98F" w14:textId="64337604" w:rsidR="00834B9A" w:rsidRDefault="00594D3C" w:rsidP="000D6273">
    <w:pPr>
      <w:pStyle w:val="Header"/>
      <w:tabs>
        <w:tab w:val="clear" w:pos="8562"/>
      </w:tabs>
      <w:ind w:right="1440"/>
      <w:jc w:val="center"/>
      <w:rPr>
        <w:rFonts w:asciiTheme="minorHAnsi" w:hAnsiTheme="minorHAnsi"/>
        <w:sz w:val="32"/>
      </w:rPr>
    </w:pPr>
    <w:r>
      <w:rPr>
        <w:rFonts w:asciiTheme="minorHAnsi" w:hAnsiTheme="minorHAnsi"/>
        <w:sz w:val="32"/>
      </w:rPr>
      <w:t>Extraordinary Items</w:t>
    </w:r>
  </w:p>
  <w:p w14:paraId="0E01B5E6" w14:textId="25436945" w:rsidR="00834B9A" w:rsidRPr="00437683" w:rsidRDefault="001A1143" w:rsidP="000D6273">
    <w:pPr>
      <w:pStyle w:val="Header"/>
      <w:ind w:right="1440"/>
      <w:jc w:val="center"/>
      <w:rPr>
        <w:rFonts w:asciiTheme="minorHAnsi" w:hAnsiTheme="minorHAnsi"/>
        <w:sz w:val="32"/>
      </w:rPr>
    </w:pPr>
    <w:r>
      <w:rPr>
        <w:rFonts w:asciiTheme="minorHAnsi" w:hAnsiTheme="minorHAnsi"/>
        <w:sz w:val="32"/>
      </w:rPr>
      <w:t>Position</w:t>
    </w:r>
    <w:r w:rsidR="008968CA">
      <w:rPr>
        <w:rFonts w:asciiTheme="minorHAnsi" w:hAnsiTheme="minorHAnsi"/>
        <w:sz w:val="32"/>
      </w:rPr>
      <w:t xml:space="preserve"> </w:t>
    </w:r>
    <w:r w:rsidR="00705C3D">
      <w:rPr>
        <w:rFonts w:asciiTheme="minorHAnsi" w:hAnsiTheme="minorHAnsi"/>
        <w:sz w:val="32"/>
      </w:rPr>
      <w:t>Paper</w:t>
    </w:r>
    <w:r w:rsidR="00684AB9">
      <w:rPr>
        <w:rFonts w:asciiTheme="minorHAnsi" w:hAnsiTheme="minorHAnsi"/>
        <w:sz w:val="32"/>
      </w:rPr>
      <w:t xml:space="preserve"> #10</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8D457C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1C4CFF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64AC6D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1A4A91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D62AAE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2629A8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7D64DB6"/>
    <w:lvl w:ilvl="0">
      <w:start w:val="1"/>
      <w:numFmt w:val="bullet"/>
      <w:pStyle w:val="ListBullet3"/>
      <w:lvlText w:val=""/>
      <w:lvlJc w:val="left"/>
      <w:pPr>
        <w:tabs>
          <w:tab w:val="num" w:pos="1588"/>
        </w:tabs>
        <w:ind w:left="1588" w:hanging="908"/>
      </w:pPr>
      <w:rPr>
        <w:rFonts w:ascii="Symbol" w:hAnsi="Symbol" w:hint="default"/>
        <w:color w:val="632163"/>
      </w:rPr>
    </w:lvl>
  </w:abstractNum>
  <w:abstractNum w:abstractNumId="7" w15:restartNumberingAfterBreak="0">
    <w:nsid w:val="FFFFFF83"/>
    <w:multiLevelType w:val="singleLevel"/>
    <w:tmpl w:val="571666CA"/>
    <w:lvl w:ilvl="0">
      <w:start w:val="1"/>
      <w:numFmt w:val="bullet"/>
      <w:lvlText w:val=""/>
      <w:lvlJc w:val="left"/>
      <w:pPr>
        <w:tabs>
          <w:tab w:val="num" w:pos="641"/>
        </w:tabs>
        <w:ind w:left="641" w:hanging="284"/>
      </w:pPr>
      <w:rPr>
        <w:rFonts w:ascii="Symbol" w:hAnsi="Symbol" w:hint="default"/>
        <w:color w:val="632163"/>
      </w:rPr>
    </w:lvl>
  </w:abstractNum>
  <w:abstractNum w:abstractNumId="8" w15:restartNumberingAfterBreak="0">
    <w:nsid w:val="FFFFFF88"/>
    <w:multiLevelType w:val="singleLevel"/>
    <w:tmpl w:val="8C6C7FB2"/>
    <w:lvl w:ilvl="0">
      <w:start w:val="1"/>
      <w:numFmt w:val="decimal"/>
      <w:lvlText w:val="%1."/>
      <w:lvlJc w:val="left"/>
      <w:pPr>
        <w:tabs>
          <w:tab w:val="num" w:pos="360"/>
        </w:tabs>
        <w:ind w:left="360" w:hanging="360"/>
      </w:pPr>
    </w:lvl>
  </w:abstractNum>
  <w:abstractNum w:abstractNumId="9" w15:restartNumberingAfterBreak="0">
    <w:nsid w:val="068B239F"/>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070171DB"/>
    <w:multiLevelType w:val="hybridMultilevel"/>
    <w:tmpl w:val="9DF2F16A"/>
    <w:lvl w:ilvl="0" w:tplc="A420CAFC">
      <w:start w:val="1"/>
      <w:numFmt w:val="bullet"/>
      <w:lvlText w:val="o"/>
      <w:lvlJc w:val="left"/>
      <w:pPr>
        <w:tabs>
          <w:tab w:val="num" w:pos="907"/>
        </w:tabs>
        <w:ind w:left="907" w:hanging="397"/>
      </w:pPr>
      <w:rPr>
        <w:rFonts w:ascii="Courier New" w:hAnsi="Courier New" w:hint="default"/>
        <w:color w:val="632163"/>
      </w:rPr>
    </w:lvl>
    <w:lvl w:ilvl="1" w:tplc="D89C9A22">
      <w:start w:val="1"/>
      <w:numFmt w:val="bullet"/>
      <w:lvlText w:val="o"/>
      <w:lvlJc w:val="left"/>
      <w:pPr>
        <w:tabs>
          <w:tab w:val="num" w:pos="1077"/>
        </w:tabs>
        <w:ind w:left="1077" w:hanging="397"/>
      </w:pPr>
      <w:rPr>
        <w:rFonts w:ascii="Courier New" w:hAnsi="Courier New" w:hint="default"/>
      </w:rPr>
    </w:lvl>
    <w:lvl w:ilvl="2" w:tplc="AE5EB8C6" w:tentative="1">
      <w:start w:val="1"/>
      <w:numFmt w:val="bullet"/>
      <w:lvlText w:val=""/>
      <w:lvlJc w:val="left"/>
      <w:pPr>
        <w:tabs>
          <w:tab w:val="num" w:pos="2160"/>
        </w:tabs>
        <w:ind w:left="2160" w:hanging="360"/>
      </w:pPr>
      <w:rPr>
        <w:rFonts w:ascii="Wingdings" w:hAnsi="Wingdings" w:hint="default"/>
      </w:rPr>
    </w:lvl>
    <w:lvl w:ilvl="3" w:tplc="223A4E6A" w:tentative="1">
      <w:start w:val="1"/>
      <w:numFmt w:val="bullet"/>
      <w:lvlText w:val=""/>
      <w:lvlJc w:val="left"/>
      <w:pPr>
        <w:tabs>
          <w:tab w:val="num" w:pos="2880"/>
        </w:tabs>
        <w:ind w:left="2880" w:hanging="360"/>
      </w:pPr>
      <w:rPr>
        <w:rFonts w:ascii="Symbol" w:hAnsi="Symbol" w:hint="default"/>
      </w:rPr>
    </w:lvl>
    <w:lvl w:ilvl="4" w:tplc="92506CEC" w:tentative="1">
      <w:start w:val="1"/>
      <w:numFmt w:val="bullet"/>
      <w:lvlText w:val="o"/>
      <w:lvlJc w:val="left"/>
      <w:pPr>
        <w:tabs>
          <w:tab w:val="num" w:pos="3600"/>
        </w:tabs>
        <w:ind w:left="3600" w:hanging="360"/>
      </w:pPr>
      <w:rPr>
        <w:rFonts w:ascii="Courier New" w:hAnsi="Courier New" w:cs="Wingdings" w:hint="default"/>
      </w:rPr>
    </w:lvl>
    <w:lvl w:ilvl="5" w:tplc="2EF4A9E8" w:tentative="1">
      <w:start w:val="1"/>
      <w:numFmt w:val="bullet"/>
      <w:lvlText w:val=""/>
      <w:lvlJc w:val="left"/>
      <w:pPr>
        <w:tabs>
          <w:tab w:val="num" w:pos="4320"/>
        </w:tabs>
        <w:ind w:left="4320" w:hanging="360"/>
      </w:pPr>
      <w:rPr>
        <w:rFonts w:ascii="Wingdings" w:hAnsi="Wingdings" w:hint="default"/>
      </w:rPr>
    </w:lvl>
    <w:lvl w:ilvl="6" w:tplc="A0E283A2" w:tentative="1">
      <w:start w:val="1"/>
      <w:numFmt w:val="bullet"/>
      <w:lvlText w:val=""/>
      <w:lvlJc w:val="left"/>
      <w:pPr>
        <w:tabs>
          <w:tab w:val="num" w:pos="5040"/>
        </w:tabs>
        <w:ind w:left="5040" w:hanging="360"/>
      </w:pPr>
      <w:rPr>
        <w:rFonts w:ascii="Symbol" w:hAnsi="Symbol" w:hint="default"/>
      </w:rPr>
    </w:lvl>
    <w:lvl w:ilvl="7" w:tplc="66E615FE" w:tentative="1">
      <w:start w:val="1"/>
      <w:numFmt w:val="bullet"/>
      <w:lvlText w:val="o"/>
      <w:lvlJc w:val="left"/>
      <w:pPr>
        <w:tabs>
          <w:tab w:val="num" w:pos="5760"/>
        </w:tabs>
        <w:ind w:left="5760" w:hanging="360"/>
      </w:pPr>
      <w:rPr>
        <w:rFonts w:ascii="Courier New" w:hAnsi="Courier New" w:cs="Wingdings" w:hint="default"/>
      </w:rPr>
    </w:lvl>
    <w:lvl w:ilvl="8" w:tplc="0902F1D0"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B393AE7"/>
    <w:multiLevelType w:val="multilevel"/>
    <w:tmpl w:val="04090023"/>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2" w15:restartNumberingAfterBreak="0">
    <w:nsid w:val="0CCD4187"/>
    <w:multiLevelType w:val="multilevel"/>
    <w:tmpl w:val="693227E4"/>
    <w:lvl w:ilvl="0">
      <w:start w:val="1"/>
      <w:numFmt w:val="bullet"/>
      <w:pStyle w:val="ListBullet"/>
      <w:lvlText w:val=""/>
      <w:lvlJc w:val="left"/>
      <w:pPr>
        <w:tabs>
          <w:tab w:val="num" w:pos="227"/>
        </w:tabs>
        <w:ind w:left="227" w:hanging="227"/>
      </w:pPr>
      <w:rPr>
        <w:rFonts w:ascii="Symbol" w:hAnsi="Symbol" w:hint="default"/>
        <w:color w:val="auto"/>
      </w:rPr>
    </w:lvl>
    <w:lvl w:ilvl="1">
      <w:start w:val="1"/>
      <w:numFmt w:val="bullet"/>
      <w:pStyle w:val="ListBullet2"/>
      <w:lvlText w:val=""/>
      <w:lvlJc w:val="left"/>
      <w:pPr>
        <w:tabs>
          <w:tab w:val="num" w:pos="454"/>
        </w:tabs>
        <w:ind w:left="454" w:hanging="227"/>
      </w:pPr>
      <w:rPr>
        <w:rFonts w:ascii="Symbol" w:hAnsi="Symbol"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3" w15:restartNumberingAfterBreak="0">
    <w:nsid w:val="16AF5E4B"/>
    <w:multiLevelType w:val="multilevel"/>
    <w:tmpl w:val="21865640"/>
    <w:lvl w:ilvl="0">
      <w:start w:val="1"/>
      <w:numFmt w:val="bullet"/>
      <w:pStyle w:val="ParagraphBullet"/>
      <w:lvlText w:val=""/>
      <w:lvlJc w:val="left"/>
      <w:pPr>
        <w:tabs>
          <w:tab w:val="num" w:pos="227"/>
        </w:tabs>
        <w:ind w:left="227" w:hanging="227"/>
      </w:pPr>
      <w:rPr>
        <w:rFonts w:ascii="Symbol" w:hAnsi="Symbol" w:hint="default"/>
        <w:color w:val="auto"/>
      </w:rPr>
    </w:lvl>
    <w:lvl w:ilvl="1">
      <w:start w:val="1"/>
      <w:numFmt w:val="bullet"/>
      <w:pStyle w:val="ParagraphBullet2"/>
      <w:lvlText w:val=""/>
      <w:lvlJc w:val="left"/>
      <w:pPr>
        <w:tabs>
          <w:tab w:val="num" w:pos="454"/>
        </w:tabs>
        <w:ind w:left="454" w:hanging="227"/>
      </w:pPr>
      <w:rPr>
        <w:rFonts w:ascii="Symbol" w:hAnsi="Symbol"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343D545A"/>
    <w:multiLevelType w:val="multilevel"/>
    <w:tmpl w:val="4484EAB8"/>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pStyle w:val="Heading5"/>
      <w:lvlText w:val="%5)"/>
      <w:lvlJc w:val="left"/>
      <w:pPr>
        <w:tabs>
          <w:tab w:val="num" w:pos="1008"/>
        </w:tabs>
        <w:ind w:left="1008" w:hanging="432"/>
      </w:pPr>
    </w:lvl>
    <w:lvl w:ilvl="5">
      <w:start w:val="1"/>
      <w:numFmt w:val="lowerLetter"/>
      <w:pStyle w:val="Heading6"/>
      <w:lvlText w:val="%6)"/>
      <w:lvlJc w:val="left"/>
      <w:pPr>
        <w:tabs>
          <w:tab w:val="num" w:pos="1152"/>
        </w:tabs>
        <w:ind w:left="1152" w:hanging="432"/>
      </w:pPr>
    </w:lvl>
    <w:lvl w:ilvl="6">
      <w:start w:val="1"/>
      <w:numFmt w:val="lowerRoman"/>
      <w:pStyle w:val="Heading7"/>
      <w:lvlText w:val="%7)"/>
      <w:lvlJc w:val="right"/>
      <w:pPr>
        <w:tabs>
          <w:tab w:val="num" w:pos="1296"/>
        </w:tabs>
        <w:ind w:left="1296" w:hanging="288"/>
      </w:pPr>
    </w:lvl>
    <w:lvl w:ilvl="7">
      <w:start w:val="1"/>
      <w:numFmt w:val="lowerLetter"/>
      <w:pStyle w:val="Heading8"/>
      <w:lvlText w:val="%8."/>
      <w:lvlJc w:val="left"/>
      <w:pPr>
        <w:tabs>
          <w:tab w:val="num" w:pos="1440"/>
        </w:tabs>
        <w:ind w:left="1440" w:hanging="432"/>
      </w:pPr>
    </w:lvl>
    <w:lvl w:ilvl="8">
      <w:start w:val="1"/>
      <w:numFmt w:val="lowerRoman"/>
      <w:pStyle w:val="Heading9"/>
      <w:lvlText w:val="%9."/>
      <w:lvlJc w:val="right"/>
      <w:pPr>
        <w:tabs>
          <w:tab w:val="num" w:pos="1584"/>
        </w:tabs>
        <w:ind w:left="1584" w:hanging="144"/>
      </w:pPr>
    </w:lvl>
  </w:abstractNum>
  <w:abstractNum w:abstractNumId="15" w15:restartNumberingAfterBreak="0">
    <w:nsid w:val="387A6AE0"/>
    <w:multiLevelType w:val="multilevel"/>
    <w:tmpl w:val="917A5788"/>
    <w:lvl w:ilvl="0">
      <w:start w:val="1"/>
      <w:numFmt w:val="decimal"/>
      <w:pStyle w:val="NumberedHeading1"/>
      <w:lvlText w:val="%1"/>
      <w:lvlJc w:val="left"/>
      <w:pPr>
        <w:tabs>
          <w:tab w:val="num" w:pos="851"/>
        </w:tabs>
        <w:ind w:left="851" w:hanging="851"/>
      </w:pPr>
      <w:rPr>
        <w:rFonts w:hint="default"/>
      </w:rPr>
    </w:lvl>
    <w:lvl w:ilvl="1">
      <w:start w:val="1"/>
      <w:numFmt w:val="decimal"/>
      <w:pStyle w:val="NumberedHeading2"/>
      <w:lvlText w:val="%1.%2"/>
      <w:lvlJc w:val="left"/>
      <w:pPr>
        <w:tabs>
          <w:tab w:val="num" w:pos="851"/>
        </w:tabs>
        <w:ind w:left="851" w:hanging="851"/>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51016035"/>
    <w:multiLevelType w:val="multilevel"/>
    <w:tmpl w:val="C2A243C0"/>
    <w:lvl w:ilvl="0">
      <w:start w:val="1"/>
      <w:numFmt w:val="decimal"/>
      <w:isLgl/>
      <w:lvlText w:val="%1."/>
      <w:lvlJc w:val="left"/>
      <w:pPr>
        <w:tabs>
          <w:tab w:val="num" w:pos="397"/>
        </w:tabs>
        <w:ind w:left="397" w:hanging="397"/>
      </w:pPr>
      <w:rPr>
        <w:rFonts w:hint="default"/>
      </w:rPr>
    </w:lvl>
    <w:lvl w:ilvl="1">
      <w:start w:val="1"/>
      <w:numFmt w:val="decimal"/>
      <w:lvlText w:val="%1.%2."/>
      <w:lvlJc w:val="left"/>
      <w:pPr>
        <w:tabs>
          <w:tab w:val="num" w:pos="1021"/>
        </w:tabs>
        <w:ind w:left="1021" w:hanging="624"/>
      </w:pPr>
      <w:rPr>
        <w:rFonts w:hint="default"/>
      </w:rPr>
    </w:lvl>
    <w:lvl w:ilvl="2">
      <w:start w:val="1"/>
      <w:numFmt w:val="decimal"/>
      <w:lvlText w:val="%1.%2.%3."/>
      <w:lvlJc w:val="left"/>
      <w:pPr>
        <w:tabs>
          <w:tab w:val="num" w:pos="1474"/>
        </w:tabs>
        <w:ind w:left="1474" w:hanging="510"/>
      </w:pPr>
      <w:rPr>
        <w:rFonts w:hint="default"/>
      </w:rPr>
    </w:lvl>
    <w:lvl w:ilvl="3">
      <w:start w:val="1"/>
      <w:numFmt w:val="bullet"/>
      <w:lvlText w:val=""/>
      <w:lvlJc w:val="left"/>
      <w:pPr>
        <w:tabs>
          <w:tab w:val="num" w:pos="680"/>
        </w:tabs>
        <w:ind w:left="680" w:hanging="323"/>
      </w:pPr>
      <w:rPr>
        <w:rFonts w:ascii="Symbol" w:hAnsi="Symbol" w:hint="default"/>
      </w:rPr>
    </w:lvl>
    <w:lvl w:ilvl="4">
      <w:start w:val="1"/>
      <w:numFmt w:val="bullet"/>
      <w:lvlRestart w:val="0"/>
      <w:lvlText w:val=""/>
      <w:lvlJc w:val="left"/>
      <w:pPr>
        <w:tabs>
          <w:tab w:val="num" w:pos="680"/>
        </w:tabs>
        <w:ind w:left="680" w:hanging="323"/>
      </w:pPr>
      <w:rPr>
        <w:rFonts w:ascii="Symbol" w:hAnsi="Symbol"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7" w15:restartNumberingAfterBreak="0">
    <w:nsid w:val="51FE3976"/>
    <w:multiLevelType w:val="multilevel"/>
    <w:tmpl w:val="2EC0E21A"/>
    <w:lvl w:ilvl="0">
      <w:start w:val="1"/>
      <w:numFmt w:val="decimal"/>
      <w:lvlText w:val="%1."/>
      <w:lvlJc w:val="left"/>
      <w:pPr>
        <w:tabs>
          <w:tab w:val="num" w:pos="926"/>
        </w:tabs>
        <w:ind w:left="926"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524264FB"/>
    <w:multiLevelType w:val="multilevel"/>
    <w:tmpl w:val="79C604F0"/>
    <w:lvl w:ilvl="0">
      <w:start w:val="1"/>
      <w:numFmt w:val="decimal"/>
      <w:lvlText w:val="%1."/>
      <w:lvlJc w:val="left"/>
      <w:pPr>
        <w:tabs>
          <w:tab w:val="num" w:pos="643"/>
        </w:tabs>
        <w:ind w:left="643"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530E7E82"/>
    <w:multiLevelType w:val="hybridMultilevel"/>
    <w:tmpl w:val="8DCC3A70"/>
    <w:lvl w:ilvl="0" w:tplc="9EEAFB3E">
      <w:start w:val="1"/>
      <w:numFmt w:val="bullet"/>
      <w:lvlText w:val=""/>
      <w:lvlJc w:val="left"/>
      <w:pPr>
        <w:tabs>
          <w:tab w:val="num" w:pos="357"/>
        </w:tabs>
        <w:ind w:left="357" w:hanging="357"/>
      </w:pPr>
      <w:rPr>
        <w:rFonts w:ascii="Symbol" w:hAnsi="Symbol" w:hint="default"/>
        <w:color w:val="632163"/>
      </w:rPr>
    </w:lvl>
    <w:lvl w:ilvl="1" w:tplc="1BF8421A" w:tentative="1">
      <w:start w:val="1"/>
      <w:numFmt w:val="bullet"/>
      <w:lvlText w:val="o"/>
      <w:lvlJc w:val="left"/>
      <w:pPr>
        <w:tabs>
          <w:tab w:val="num" w:pos="1440"/>
        </w:tabs>
        <w:ind w:left="1440" w:hanging="360"/>
      </w:pPr>
      <w:rPr>
        <w:rFonts w:ascii="Courier New" w:hAnsi="Courier New" w:cs="Wingdings" w:hint="default"/>
      </w:rPr>
    </w:lvl>
    <w:lvl w:ilvl="2" w:tplc="38CC3FC2" w:tentative="1">
      <w:start w:val="1"/>
      <w:numFmt w:val="bullet"/>
      <w:lvlText w:val=""/>
      <w:lvlJc w:val="left"/>
      <w:pPr>
        <w:tabs>
          <w:tab w:val="num" w:pos="2160"/>
        </w:tabs>
        <w:ind w:left="2160" w:hanging="360"/>
      </w:pPr>
      <w:rPr>
        <w:rFonts w:ascii="Wingdings" w:hAnsi="Wingdings" w:hint="default"/>
      </w:rPr>
    </w:lvl>
    <w:lvl w:ilvl="3" w:tplc="4574DFD4" w:tentative="1">
      <w:start w:val="1"/>
      <w:numFmt w:val="bullet"/>
      <w:lvlText w:val=""/>
      <w:lvlJc w:val="left"/>
      <w:pPr>
        <w:tabs>
          <w:tab w:val="num" w:pos="2880"/>
        </w:tabs>
        <w:ind w:left="2880" w:hanging="360"/>
      </w:pPr>
      <w:rPr>
        <w:rFonts w:ascii="Symbol" w:hAnsi="Symbol" w:hint="default"/>
      </w:rPr>
    </w:lvl>
    <w:lvl w:ilvl="4" w:tplc="8564D340" w:tentative="1">
      <w:start w:val="1"/>
      <w:numFmt w:val="bullet"/>
      <w:lvlText w:val="o"/>
      <w:lvlJc w:val="left"/>
      <w:pPr>
        <w:tabs>
          <w:tab w:val="num" w:pos="3600"/>
        </w:tabs>
        <w:ind w:left="3600" w:hanging="360"/>
      </w:pPr>
      <w:rPr>
        <w:rFonts w:ascii="Courier New" w:hAnsi="Courier New" w:cs="Wingdings" w:hint="default"/>
      </w:rPr>
    </w:lvl>
    <w:lvl w:ilvl="5" w:tplc="B4523E64" w:tentative="1">
      <w:start w:val="1"/>
      <w:numFmt w:val="bullet"/>
      <w:lvlText w:val=""/>
      <w:lvlJc w:val="left"/>
      <w:pPr>
        <w:tabs>
          <w:tab w:val="num" w:pos="4320"/>
        </w:tabs>
        <w:ind w:left="4320" w:hanging="360"/>
      </w:pPr>
      <w:rPr>
        <w:rFonts w:ascii="Wingdings" w:hAnsi="Wingdings" w:hint="default"/>
      </w:rPr>
    </w:lvl>
    <w:lvl w:ilvl="6" w:tplc="CBC860A8" w:tentative="1">
      <w:start w:val="1"/>
      <w:numFmt w:val="bullet"/>
      <w:lvlText w:val=""/>
      <w:lvlJc w:val="left"/>
      <w:pPr>
        <w:tabs>
          <w:tab w:val="num" w:pos="5040"/>
        </w:tabs>
        <w:ind w:left="5040" w:hanging="360"/>
      </w:pPr>
      <w:rPr>
        <w:rFonts w:ascii="Symbol" w:hAnsi="Symbol" w:hint="default"/>
      </w:rPr>
    </w:lvl>
    <w:lvl w:ilvl="7" w:tplc="72221F70" w:tentative="1">
      <w:start w:val="1"/>
      <w:numFmt w:val="bullet"/>
      <w:lvlText w:val="o"/>
      <w:lvlJc w:val="left"/>
      <w:pPr>
        <w:tabs>
          <w:tab w:val="num" w:pos="5760"/>
        </w:tabs>
        <w:ind w:left="5760" w:hanging="360"/>
      </w:pPr>
      <w:rPr>
        <w:rFonts w:ascii="Courier New" w:hAnsi="Courier New" w:cs="Wingdings" w:hint="default"/>
      </w:rPr>
    </w:lvl>
    <w:lvl w:ilvl="8" w:tplc="5B5C458E"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8594E96"/>
    <w:multiLevelType w:val="multilevel"/>
    <w:tmpl w:val="45821930"/>
    <w:lvl w:ilvl="0">
      <w:start w:val="1"/>
      <w:numFmt w:val="decimal"/>
      <w:pStyle w:val="ListNumber"/>
      <w:lvlText w:val="%1"/>
      <w:lvlJc w:val="left"/>
      <w:pPr>
        <w:tabs>
          <w:tab w:val="num" w:pos="357"/>
        </w:tabs>
        <w:ind w:left="357" w:hanging="357"/>
      </w:pPr>
      <w:rPr>
        <w:rFonts w:hint="default"/>
      </w:rPr>
    </w:lvl>
    <w:lvl w:ilvl="1">
      <w:start w:val="1"/>
      <w:numFmt w:val="lowerLetter"/>
      <w:pStyle w:val="ListNumber2"/>
      <w:lvlText w:val="%2"/>
      <w:lvlJc w:val="left"/>
      <w:pPr>
        <w:tabs>
          <w:tab w:val="num" w:pos="714"/>
        </w:tabs>
        <w:ind w:left="714" w:hanging="357"/>
      </w:pPr>
      <w:rPr>
        <w:rFonts w:hint="default"/>
      </w:rPr>
    </w:lvl>
    <w:lvl w:ilvl="2">
      <w:start w:val="1"/>
      <w:numFmt w:val="lowerRoman"/>
      <w:pStyle w:val="ListNumber3"/>
      <w:lvlText w:val="%3"/>
      <w:lvlJc w:val="left"/>
      <w:pPr>
        <w:tabs>
          <w:tab w:val="num" w:pos="1072"/>
        </w:tabs>
        <w:ind w:left="1072" w:hanging="358"/>
      </w:pPr>
      <w:rPr>
        <w:rFonts w:hint="default"/>
      </w:rPr>
    </w:lvl>
    <w:lvl w:ilvl="3">
      <w:start w:val="1"/>
      <w:numFmt w:val="decimal"/>
      <w:lvlText w:val="%1.%2.%3.%4"/>
      <w:lvlJc w:val="right"/>
      <w:pPr>
        <w:tabs>
          <w:tab w:val="num" w:pos="3969"/>
        </w:tabs>
        <w:ind w:left="3969" w:hanging="1361"/>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1" w15:restartNumberingAfterBreak="0">
    <w:nsid w:val="7E5020B8"/>
    <w:multiLevelType w:val="multilevel"/>
    <w:tmpl w:val="273ECCBE"/>
    <w:lvl w:ilvl="0">
      <w:start w:val="1"/>
      <w:numFmt w:val="decimal"/>
      <w:isLgl/>
      <w:lvlText w:val="%1."/>
      <w:lvlJc w:val="left"/>
      <w:pPr>
        <w:tabs>
          <w:tab w:val="num" w:pos="357"/>
        </w:tabs>
        <w:ind w:left="357" w:hanging="357"/>
      </w:pPr>
    </w:lvl>
    <w:lvl w:ilvl="1">
      <w:start w:val="1"/>
      <w:numFmt w:val="decimal"/>
      <w:isLgl/>
      <w:lvlText w:val="%1.%2."/>
      <w:lvlJc w:val="left"/>
      <w:pPr>
        <w:tabs>
          <w:tab w:val="num" w:pos="964"/>
        </w:tabs>
        <w:ind w:left="964" w:hanging="607"/>
      </w:pPr>
    </w:lvl>
    <w:lvl w:ilvl="2">
      <w:start w:val="1"/>
      <w:numFmt w:val="decimal"/>
      <w:isLgl/>
      <w:lvlText w:val="%1.%2.%3."/>
      <w:lvlJc w:val="left"/>
      <w:pPr>
        <w:tabs>
          <w:tab w:val="num" w:pos="1587"/>
        </w:tabs>
        <w:ind w:left="1587" w:hanging="907"/>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6"/>
  </w:num>
  <w:num w:numId="2">
    <w:abstractNumId w:val="7"/>
  </w:num>
  <w:num w:numId="3">
    <w:abstractNumId w:val="7"/>
  </w:num>
  <w:num w:numId="4">
    <w:abstractNumId w:val="6"/>
  </w:num>
  <w:num w:numId="5">
    <w:abstractNumId w:val="6"/>
  </w:num>
  <w:num w:numId="6">
    <w:abstractNumId w:val="8"/>
  </w:num>
  <w:num w:numId="7">
    <w:abstractNumId w:val="8"/>
  </w:num>
  <w:num w:numId="8">
    <w:abstractNumId w:val="3"/>
  </w:num>
  <w:num w:numId="9">
    <w:abstractNumId w:val="3"/>
  </w:num>
  <w:num w:numId="10">
    <w:abstractNumId w:val="19"/>
  </w:num>
  <w:num w:numId="11">
    <w:abstractNumId w:val="21"/>
  </w:num>
  <w:num w:numId="12">
    <w:abstractNumId w:val="10"/>
  </w:num>
  <w:num w:numId="13">
    <w:abstractNumId w:val="8"/>
  </w:num>
  <w:num w:numId="14">
    <w:abstractNumId w:val="3"/>
  </w:num>
  <w:num w:numId="15">
    <w:abstractNumId w:val="21"/>
  </w:num>
  <w:num w:numId="16">
    <w:abstractNumId w:val="8"/>
  </w:num>
  <w:num w:numId="17">
    <w:abstractNumId w:val="20"/>
  </w:num>
  <w:num w:numId="18">
    <w:abstractNumId w:val="20"/>
  </w:num>
  <w:num w:numId="19">
    <w:abstractNumId w:val="12"/>
  </w:num>
  <w:num w:numId="20">
    <w:abstractNumId w:val="12"/>
  </w:num>
  <w:num w:numId="21">
    <w:abstractNumId w:val="7"/>
  </w:num>
  <w:num w:numId="22">
    <w:abstractNumId w:val="5"/>
  </w:num>
  <w:num w:numId="23">
    <w:abstractNumId w:val="4"/>
  </w:num>
  <w:num w:numId="24">
    <w:abstractNumId w:val="2"/>
  </w:num>
  <w:num w:numId="25">
    <w:abstractNumId w:val="1"/>
  </w:num>
  <w:num w:numId="26">
    <w:abstractNumId w:val="0"/>
  </w:num>
  <w:num w:numId="27">
    <w:abstractNumId w:val="14"/>
  </w:num>
  <w:num w:numId="28">
    <w:abstractNumId w:val="18"/>
  </w:num>
  <w:num w:numId="29">
    <w:abstractNumId w:val="17"/>
  </w:num>
  <w:num w:numId="30">
    <w:abstractNumId w:val="11"/>
  </w:num>
  <w:num w:numId="31">
    <w:abstractNumId w:val="9"/>
  </w:num>
  <w:num w:numId="32">
    <w:abstractNumId w:val="13"/>
  </w:num>
  <w:num w:numId="33">
    <w:abstractNumId w:val="15"/>
  </w:num>
  <w:num w:numId="34">
    <w:abstractNumId w:val="15"/>
  </w:num>
  <w:num w:numId="35">
    <w:abstractNumId w:val="14"/>
  </w:num>
  <w:num w:numId="36">
    <w:abstractNumId w:val="14"/>
  </w:num>
  <w:num w:numId="37">
    <w:abstractNumId w:val="14"/>
  </w:num>
  <w:num w:numId="38">
    <w:abstractNumId w:val="14"/>
  </w:num>
  <w:num w:numId="3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110"/>
  <w:displayHorizontalDrawingGridEvery w:val="2"/>
  <w:displayVerticalDrawingGridEvery w:val="2"/>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455D"/>
    <w:rsid w:val="00000AB4"/>
    <w:rsid w:val="00004412"/>
    <w:rsid w:val="000054BE"/>
    <w:rsid w:val="000065EB"/>
    <w:rsid w:val="00007337"/>
    <w:rsid w:val="00007B0A"/>
    <w:rsid w:val="00016DD2"/>
    <w:rsid w:val="0002385A"/>
    <w:rsid w:val="00025419"/>
    <w:rsid w:val="00031A55"/>
    <w:rsid w:val="00033BA2"/>
    <w:rsid w:val="0006315B"/>
    <w:rsid w:val="000711D4"/>
    <w:rsid w:val="00074688"/>
    <w:rsid w:val="000908CD"/>
    <w:rsid w:val="0009111E"/>
    <w:rsid w:val="00095F5B"/>
    <w:rsid w:val="000A6CE1"/>
    <w:rsid w:val="000B3BE8"/>
    <w:rsid w:val="000B6D6F"/>
    <w:rsid w:val="000B6F69"/>
    <w:rsid w:val="000C0C5C"/>
    <w:rsid w:val="000C44A0"/>
    <w:rsid w:val="000C7B49"/>
    <w:rsid w:val="000D5770"/>
    <w:rsid w:val="000D6273"/>
    <w:rsid w:val="000F03B4"/>
    <w:rsid w:val="000F143A"/>
    <w:rsid w:val="000F5F92"/>
    <w:rsid w:val="000F700D"/>
    <w:rsid w:val="001210B7"/>
    <w:rsid w:val="0012715F"/>
    <w:rsid w:val="0013419E"/>
    <w:rsid w:val="00135D79"/>
    <w:rsid w:val="00142850"/>
    <w:rsid w:val="0016459C"/>
    <w:rsid w:val="00170181"/>
    <w:rsid w:val="00181C39"/>
    <w:rsid w:val="0018200C"/>
    <w:rsid w:val="00192F2D"/>
    <w:rsid w:val="00194E79"/>
    <w:rsid w:val="001A1143"/>
    <w:rsid w:val="001A3188"/>
    <w:rsid w:val="001A6D5C"/>
    <w:rsid w:val="001A7691"/>
    <w:rsid w:val="001B25BE"/>
    <w:rsid w:val="001B3FD8"/>
    <w:rsid w:val="001C718D"/>
    <w:rsid w:val="001D2C9D"/>
    <w:rsid w:val="001D549D"/>
    <w:rsid w:val="001E1DAE"/>
    <w:rsid w:val="001E2F16"/>
    <w:rsid w:val="001E45B8"/>
    <w:rsid w:val="001E6E0F"/>
    <w:rsid w:val="001E6F57"/>
    <w:rsid w:val="001F4120"/>
    <w:rsid w:val="001F5567"/>
    <w:rsid w:val="001F640E"/>
    <w:rsid w:val="00200A58"/>
    <w:rsid w:val="00203F25"/>
    <w:rsid w:val="0020614E"/>
    <w:rsid w:val="00207664"/>
    <w:rsid w:val="00211B71"/>
    <w:rsid w:val="002130E9"/>
    <w:rsid w:val="00213D94"/>
    <w:rsid w:val="0022005A"/>
    <w:rsid w:val="00220CB5"/>
    <w:rsid w:val="00222DA7"/>
    <w:rsid w:val="002277F3"/>
    <w:rsid w:val="0024087C"/>
    <w:rsid w:val="00240F67"/>
    <w:rsid w:val="00242FAB"/>
    <w:rsid w:val="00244CA7"/>
    <w:rsid w:val="00250B41"/>
    <w:rsid w:val="00254EC0"/>
    <w:rsid w:val="00254FC0"/>
    <w:rsid w:val="00257D56"/>
    <w:rsid w:val="002743F7"/>
    <w:rsid w:val="00281D8A"/>
    <w:rsid w:val="002A11B3"/>
    <w:rsid w:val="002A5C61"/>
    <w:rsid w:val="002C0344"/>
    <w:rsid w:val="002C1F0E"/>
    <w:rsid w:val="002C7327"/>
    <w:rsid w:val="002E0E8B"/>
    <w:rsid w:val="00300C35"/>
    <w:rsid w:val="00305C57"/>
    <w:rsid w:val="00317071"/>
    <w:rsid w:val="003427FD"/>
    <w:rsid w:val="00345AF1"/>
    <w:rsid w:val="00356177"/>
    <w:rsid w:val="003571BC"/>
    <w:rsid w:val="00362065"/>
    <w:rsid w:val="00387144"/>
    <w:rsid w:val="00390152"/>
    <w:rsid w:val="0039141D"/>
    <w:rsid w:val="00393D00"/>
    <w:rsid w:val="0039421F"/>
    <w:rsid w:val="003A5365"/>
    <w:rsid w:val="003B0FEE"/>
    <w:rsid w:val="003B314A"/>
    <w:rsid w:val="003B345C"/>
    <w:rsid w:val="003C58C4"/>
    <w:rsid w:val="003C6237"/>
    <w:rsid w:val="003C754E"/>
    <w:rsid w:val="003E168E"/>
    <w:rsid w:val="003E7371"/>
    <w:rsid w:val="003F016B"/>
    <w:rsid w:val="003F6D9E"/>
    <w:rsid w:val="00402D6F"/>
    <w:rsid w:val="00410ED6"/>
    <w:rsid w:val="00415486"/>
    <w:rsid w:val="0044428A"/>
    <w:rsid w:val="00451059"/>
    <w:rsid w:val="00454C95"/>
    <w:rsid w:val="00467281"/>
    <w:rsid w:val="00467766"/>
    <w:rsid w:val="00467C44"/>
    <w:rsid w:val="004717AC"/>
    <w:rsid w:val="004741A8"/>
    <w:rsid w:val="00481414"/>
    <w:rsid w:val="004845EF"/>
    <w:rsid w:val="004B04B3"/>
    <w:rsid w:val="004B57E8"/>
    <w:rsid w:val="004B7828"/>
    <w:rsid w:val="004C0BCF"/>
    <w:rsid w:val="004C13D3"/>
    <w:rsid w:val="004C21C7"/>
    <w:rsid w:val="004C39E6"/>
    <w:rsid w:val="004C40E9"/>
    <w:rsid w:val="004C4804"/>
    <w:rsid w:val="004D0E22"/>
    <w:rsid w:val="004F084D"/>
    <w:rsid w:val="004F1CE6"/>
    <w:rsid w:val="004F5FC1"/>
    <w:rsid w:val="004F70FE"/>
    <w:rsid w:val="005056DF"/>
    <w:rsid w:val="00520EF0"/>
    <w:rsid w:val="00527903"/>
    <w:rsid w:val="00537351"/>
    <w:rsid w:val="00542085"/>
    <w:rsid w:val="00544F2A"/>
    <w:rsid w:val="0056384A"/>
    <w:rsid w:val="00564CFA"/>
    <w:rsid w:val="00584041"/>
    <w:rsid w:val="005856AB"/>
    <w:rsid w:val="00587A87"/>
    <w:rsid w:val="00594D3C"/>
    <w:rsid w:val="00595A3C"/>
    <w:rsid w:val="005A7F34"/>
    <w:rsid w:val="005B00F8"/>
    <w:rsid w:val="005B36B4"/>
    <w:rsid w:val="005C7ACF"/>
    <w:rsid w:val="005D1401"/>
    <w:rsid w:val="005D4A27"/>
    <w:rsid w:val="005D6F96"/>
    <w:rsid w:val="005D7123"/>
    <w:rsid w:val="005D7CF4"/>
    <w:rsid w:val="005E5264"/>
    <w:rsid w:val="005E5854"/>
    <w:rsid w:val="005E6364"/>
    <w:rsid w:val="005F2F0F"/>
    <w:rsid w:val="005F493E"/>
    <w:rsid w:val="005F4E22"/>
    <w:rsid w:val="00603E97"/>
    <w:rsid w:val="006048BA"/>
    <w:rsid w:val="00604FE9"/>
    <w:rsid w:val="00614C6D"/>
    <w:rsid w:val="00616FCD"/>
    <w:rsid w:val="0062437E"/>
    <w:rsid w:val="0062779E"/>
    <w:rsid w:val="00654240"/>
    <w:rsid w:val="0066455D"/>
    <w:rsid w:val="00675B59"/>
    <w:rsid w:val="006805DE"/>
    <w:rsid w:val="00684320"/>
    <w:rsid w:val="00684A95"/>
    <w:rsid w:val="00684AB9"/>
    <w:rsid w:val="006857B3"/>
    <w:rsid w:val="00686115"/>
    <w:rsid w:val="00696680"/>
    <w:rsid w:val="006A6D8E"/>
    <w:rsid w:val="006A6FAE"/>
    <w:rsid w:val="006B6256"/>
    <w:rsid w:val="006B79AA"/>
    <w:rsid w:val="006C1985"/>
    <w:rsid w:val="006C6DA5"/>
    <w:rsid w:val="006E0B49"/>
    <w:rsid w:val="006E5BDF"/>
    <w:rsid w:val="006F48D8"/>
    <w:rsid w:val="006F5613"/>
    <w:rsid w:val="006F73BD"/>
    <w:rsid w:val="00705C3D"/>
    <w:rsid w:val="00714585"/>
    <w:rsid w:val="00714A57"/>
    <w:rsid w:val="007251B8"/>
    <w:rsid w:val="0073174E"/>
    <w:rsid w:val="00733B7C"/>
    <w:rsid w:val="0073674A"/>
    <w:rsid w:val="007409D9"/>
    <w:rsid w:val="00751A2A"/>
    <w:rsid w:val="00753436"/>
    <w:rsid w:val="00775CD4"/>
    <w:rsid w:val="00780E83"/>
    <w:rsid w:val="00782186"/>
    <w:rsid w:val="00782878"/>
    <w:rsid w:val="00791712"/>
    <w:rsid w:val="00791E2A"/>
    <w:rsid w:val="00793390"/>
    <w:rsid w:val="007B1005"/>
    <w:rsid w:val="007B62DE"/>
    <w:rsid w:val="007C4C86"/>
    <w:rsid w:val="007D16BF"/>
    <w:rsid w:val="007D477B"/>
    <w:rsid w:val="007D562E"/>
    <w:rsid w:val="007F4529"/>
    <w:rsid w:val="007F59BE"/>
    <w:rsid w:val="00801103"/>
    <w:rsid w:val="0080621D"/>
    <w:rsid w:val="00811031"/>
    <w:rsid w:val="00814CA5"/>
    <w:rsid w:val="008155A7"/>
    <w:rsid w:val="00816D61"/>
    <w:rsid w:val="0082211C"/>
    <w:rsid w:val="0082399E"/>
    <w:rsid w:val="008241D2"/>
    <w:rsid w:val="0082535E"/>
    <w:rsid w:val="00836241"/>
    <w:rsid w:val="00837B02"/>
    <w:rsid w:val="00841819"/>
    <w:rsid w:val="00850E2C"/>
    <w:rsid w:val="0085319D"/>
    <w:rsid w:val="008612FE"/>
    <w:rsid w:val="00865445"/>
    <w:rsid w:val="008676AA"/>
    <w:rsid w:val="00873A0C"/>
    <w:rsid w:val="008752F6"/>
    <w:rsid w:val="00877670"/>
    <w:rsid w:val="00881083"/>
    <w:rsid w:val="00884B99"/>
    <w:rsid w:val="00887A12"/>
    <w:rsid w:val="00892F92"/>
    <w:rsid w:val="008968CA"/>
    <w:rsid w:val="008A14B3"/>
    <w:rsid w:val="008A2F43"/>
    <w:rsid w:val="008A3F88"/>
    <w:rsid w:val="008A3F93"/>
    <w:rsid w:val="008A49CF"/>
    <w:rsid w:val="008A6680"/>
    <w:rsid w:val="008B023D"/>
    <w:rsid w:val="008B2672"/>
    <w:rsid w:val="008B65D5"/>
    <w:rsid w:val="008C602C"/>
    <w:rsid w:val="008D6CD1"/>
    <w:rsid w:val="008E183C"/>
    <w:rsid w:val="008E636E"/>
    <w:rsid w:val="008F4505"/>
    <w:rsid w:val="0090198A"/>
    <w:rsid w:val="00902FA0"/>
    <w:rsid w:val="00903A0C"/>
    <w:rsid w:val="00912079"/>
    <w:rsid w:val="00914255"/>
    <w:rsid w:val="009144FB"/>
    <w:rsid w:val="009178E1"/>
    <w:rsid w:val="00933C10"/>
    <w:rsid w:val="0093411F"/>
    <w:rsid w:val="0093757F"/>
    <w:rsid w:val="009452C2"/>
    <w:rsid w:val="0095550A"/>
    <w:rsid w:val="0097672F"/>
    <w:rsid w:val="00976F9D"/>
    <w:rsid w:val="00980383"/>
    <w:rsid w:val="00983195"/>
    <w:rsid w:val="00984190"/>
    <w:rsid w:val="00996945"/>
    <w:rsid w:val="00996C1F"/>
    <w:rsid w:val="0099726B"/>
    <w:rsid w:val="009A1390"/>
    <w:rsid w:val="009B167F"/>
    <w:rsid w:val="009B373B"/>
    <w:rsid w:val="009B65DE"/>
    <w:rsid w:val="009C36F4"/>
    <w:rsid w:val="009D3F30"/>
    <w:rsid w:val="009D4B77"/>
    <w:rsid w:val="009D7CAE"/>
    <w:rsid w:val="009E5112"/>
    <w:rsid w:val="009F1CA5"/>
    <w:rsid w:val="009F5E03"/>
    <w:rsid w:val="00A01679"/>
    <w:rsid w:val="00A01A41"/>
    <w:rsid w:val="00A04092"/>
    <w:rsid w:val="00A122A6"/>
    <w:rsid w:val="00A14C8D"/>
    <w:rsid w:val="00A1631D"/>
    <w:rsid w:val="00A20D88"/>
    <w:rsid w:val="00A231AC"/>
    <w:rsid w:val="00A252AA"/>
    <w:rsid w:val="00A4192F"/>
    <w:rsid w:val="00A60F37"/>
    <w:rsid w:val="00A7516A"/>
    <w:rsid w:val="00AC0BC7"/>
    <w:rsid w:val="00AC2CD2"/>
    <w:rsid w:val="00AC7916"/>
    <w:rsid w:val="00AC7954"/>
    <w:rsid w:val="00AE0690"/>
    <w:rsid w:val="00AF13F1"/>
    <w:rsid w:val="00AF2730"/>
    <w:rsid w:val="00B06BD4"/>
    <w:rsid w:val="00B102F8"/>
    <w:rsid w:val="00B162A2"/>
    <w:rsid w:val="00B24115"/>
    <w:rsid w:val="00B26EB3"/>
    <w:rsid w:val="00B3571B"/>
    <w:rsid w:val="00B37049"/>
    <w:rsid w:val="00B41553"/>
    <w:rsid w:val="00B423D1"/>
    <w:rsid w:val="00B43778"/>
    <w:rsid w:val="00B506B3"/>
    <w:rsid w:val="00B555AF"/>
    <w:rsid w:val="00B66A22"/>
    <w:rsid w:val="00B7077F"/>
    <w:rsid w:val="00B72016"/>
    <w:rsid w:val="00B73878"/>
    <w:rsid w:val="00B7463A"/>
    <w:rsid w:val="00B80497"/>
    <w:rsid w:val="00B80A4C"/>
    <w:rsid w:val="00B900C3"/>
    <w:rsid w:val="00B90DAD"/>
    <w:rsid w:val="00B92505"/>
    <w:rsid w:val="00B95D5E"/>
    <w:rsid w:val="00BA7293"/>
    <w:rsid w:val="00BA7AF4"/>
    <w:rsid w:val="00BB0E7A"/>
    <w:rsid w:val="00BC5538"/>
    <w:rsid w:val="00BC64F2"/>
    <w:rsid w:val="00BC6A0F"/>
    <w:rsid w:val="00BD275B"/>
    <w:rsid w:val="00BD3B74"/>
    <w:rsid w:val="00BE7657"/>
    <w:rsid w:val="00C05FE2"/>
    <w:rsid w:val="00C06346"/>
    <w:rsid w:val="00C102D8"/>
    <w:rsid w:val="00C11FF7"/>
    <w:rsid w:val="00C12B12"/>
    <w:rsid w:val="00C17EE9"/>
    <w:rsid w:val="00C26B8F"/>
    <w:rsid w:val="00C30725"/>
    <w:rsid w:val="00C32F32"/>
    <w:rsid w:val="00C379E7"/>
    <w:rsid w:val="00C554E9"/>
    <w:rsid w:val="00C558C6"/>
    <w:rsid w:val="00C57363"/>
    <w:rsid w:val="00C64A0A"/>
    <w:rsid w:val="00C67082"/>
    <w:rsid w:val="00C74E0C"/>
    <w:rsid w:val="00C80066"/>
    <w:rsid w:val="00C826F7"/>
    <w:rsid w:val="00C845BF"/>
    <w:rsid w:val="00C8489F"/>
    <w:rsid w:val="00C86858"/>
    <w:rsid w:val="00C910A7"/>
    <w:rsid w:val="00C969C5"/>
    <w:rsid w:val="00C96AEB"/>
    <w:rsid w:val="00CA257C"/>
    <w:rsid w:val="00CA44C4"/>
    <w:rsid w:val="00CB3731"/>
    <w:rsid w:val="00CB43EB"/>
    <w:rsid w:val="00CB7393"/>
    <w:rsid w:val="00CC7B9B"/>
    <w:rsid w:val="00CD6F56"/>
    <w:rsid w:val="00CE3239"/>
    <w:rsid w:val="00CE3414"/>
    <w:rsid w:val="00CE39FF"/>
    <w:rsid w:val="00CE3A92"/>
    <w:rsid w:val="00CE3DF5"/>
    <w:rsid w:val="00CF0580"/>
    <w:rsid w:val="00CF293F"/>
    <w:rsid w:val="00D021B1"/>
    <w:rsid w:val="00D0570C"/>
    <w:rsid w:val="00D12F3F"/>
    <w:rsid w:val="00D13BF2"/>
    <w:rsid w:val="00D25198"/>
    <w:rsid w:val="00D2689D"/>
    <w:rsid w:val="00D275B0"/>
    <w:rsid w:val="00D27A8A"/>
    <w:rsid w:val="00D3040F"/>
    <w:rsid w:val="00D306A5"/>
    <w:rsid w:val="00D333CB"/>
    <w:rsid w:val="00D34328"/>
    <w:rsid w:val="00D3544C"/>
    <w:rsid w:val="00D40A60"/>
    <w:rsid w:val="00D4547A"/>
    <w:rsid w:val="00D50AB3"/>
    <w:rsid w:val="00D523A3"/>
    <w:rsid w:val="00D53D16"/>
    <w:rsid w:val="00D561E8"/>
    <w:rsid w:val="00D71751"/>
    <w:rsid w:val="00D835C4"/>
    <w:rsid w:val="00D86DF8"/>
    <w:rsid w:val="00D870EC"/>
    <w:rsid w:val="00D97C94"/>
    <w:rsid w:val="00DA22AB"/>
    <w:rsid w:val="00DB0A05"/>
    <w:rsid w:val="00DB43A0"/>
    <w:rsid w:val="00DD5DC6"/>
    <w:rsid w:val="00DE1F78"/>
    <w:rsid w:val="00DE346C"/>
    <w:rsid w:val="00DF4EDD"/>
    <w:rsid w:val="00DF7E4F"/>
    <w:rsid w:val="00E01682"/>
    <w:rsid w:val="00E05471"/>
    <w:rsid w:val="00E1206D"/>
    <w:rsid w:val="00E21198"/>
    <w:rsid w:val="00E21DE5"/>
    <w:rsid w:val="00E65CD5"/>
    <w:rsid w:val="00E749D0"/>
    <w:rsid w:val="00E82A4B"/>
    <w:rsid w:val="00E86CD3"/>
    <w:rsid w:val="00E871CA"/>
    <w:rsid w:val="00E90A82"/>
    <w:rsid w:val="00E92869"/>
    <w:rsid w:val="00E92D74"/>
    <w:rsid w:val="00E9408E"/>
    <w:rsid w:val="00E94E92"/>
    <w:rsid w:val="00E95513"/>
    <w:rsid w:val="00E95D6D"/>
    <w:rsid w:val="00E9713A"/>
    <w:rsid w:val="00EA17A8"/>
    <w:rsid w:val="00EA4604"/>
    <w:rsid w:val="00EA4A13"/>
    <w:rsid w:val="00EA6922"/>
    <w:rsid w:val="00EB5BFE"/>
    <w:rsid w:val="00EC6A7F"/>
    <w:rsid w:val="00EC7132"/>
    <w:rsid w:val="00ED1960"/>
    <w:rsid w:val="00EE03EE"/>
    <w:rsid w:val="00EE57B1"/>
    <w:rsid w:val="00EE6582"/>
    <w:rsid w:val="00EF15B9"/>
    <w:rsid w:val="00EF56B2"/>
    <w:rsid w:val="00F05345"/>
    <w:rsid w:val="00F1752A"/>
    <w:rsid w:val="00F21151"/>
    <w:rsid w:val="00F23C65"/>
    <w:rsid w:val="00F25540"/>
    <w:rsid w:val="00F26CD1"/>
    <w:rsid w:val="00F44314"/>
    <w:rsid w:val="00F45055"/>
    <w:rsid w:val="00F47B9A"/>
    <w:rsid w:val="00F55B46"/>
    <w:rsid w:val="00F73C14"/>
    <w:rsid w:val="00F917A0"/>
    <w:rsid w:val="00FA1B81"/>
    <w:rsid w:val="00FA4F39"/>
    <w:rsid w:val="00FA767F"/>
    <w:rsid w:val="00FB7840"/>
    <w:rsid w:val="00FC04AA"/>
    <w:rsid w:val="00FC1293"/>
    <w:rsid w:val="00FC20BB"/>
    <w:rsid w:val="00FC2E46"/>
    <w:rsid w:val="00FC51A8"/>
    <w:rsid w:val="00FE6CFD"/>
    <w:rsid w:val="00FE71D3"/>
    <w:rsid w:val="00FF415F"/>
    <w:rsid w:val="00FF47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7419280B"/>
  <w15:chartTrackingRefBased/>
  <w15:docId w15:val="{6BEB1227-EC86-433C-AAB6-3FB5D09D8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207664"/>
    <w:rPr>
      <w:rFonts w:ascii="Garamond" w:hAnsi="Garamond" w:cs="Arial"/>
      <w:sz w:val="22"/>
    </w:rPr>
  </w:style>
  <w:style w:type="paragraph" w:styleId="Heading1">
    <w:name w:val="heading 1"/>
    <w:basedOn w:val="Normal"/>
    <w:next w:val="BodyText"/>
    <w:link w:val="Heading1Char"/>
    <w:qFormat/>
    <w:rsid w:val="005B36B4"/>
    <w:pPr>
      <w:keepNext/>
      <w:spacing w:line="280" w:lineRule="atLeast"/>
      <w:outlineLvl w:val="0"/>
    </w:pPr>
    <w:rPr>
      <w:rFonts w:ascii="Arial Black" w:hAnsi="Arial Black"/>
      <w:bCs/>
      <w:color w:val="4F2D7F"/>
      <w:kern w:val="32"/>
      <w:sz w:val="19"/>
      <w:szCs w:val="28"/>
    </w:rPr>
  </w:style>
  <w:style w:type="paragraph" w:styleId="Heading2">
    <w:name w:val="heading 2"/>
    <w:basedOn w:val="Heading1"/>
    <w:next w:val="BodyText"/>
    <w:link w:val="Heading2Char"/>
    <w:qFormat/>
    <w:rsid w:val="00B3571B"/>
    <w:pPr>
      <w:outlineLvl w:val="1"/>
    </w:pPr>
    <w:rPr>
      <w:bCs w:val="0"/>
      <w:color w:val="auto"/>
      <w:szCs w:val="24"/>
    </w:rPr>
  </w:style>
  <w:style w:type="paragraph" w:styleId="Heading3">
    <w:name w:val="heading 3"/>
    <w:basedOn w:val="Heading2"/>
    <w:next w:val="BodyText"/>
    <w:qFormat/>
    <w:rsid w:val="00B3571B"/>
    <w:pPr>
      <w:outlineLvl w:val="2"/>
    </w:pPr>
    <w:rPr>
      <w:rFonts w:ascii="Arial" w:hAnsi="Arial"/>
      <w:bCs/>
      <w:szCs w:val="22"/>
    </w:rPr>
  </w:style>
  <w:style w:type="paragraph" w:styleId="Heading4">
    <w:name w:val="heading 4"/>
    <w:basedOn w:val="Heading3"/>
    <w:next w:val="BodyText"/>
    <w:qFormat/>
    <w:rsid w:val="00B3571B"/>
    <w:pPr>
      <w:outlineLvl w:val="3"/>
    </w:pPr>
    <w:rPr>
      <w:bCs w:val="0"/>
      <w:i/>
    </w:rPr>
  </w:style>
  <w:style w:type="paragraph" w:styleId="Heading5">
    <w:name w:val="heading 5"/>
    <w:basedOn w:val="Normal"/>
    <w:next w:val="Normal"/>
    <w:rsid w:val="00B3571B"/>
    <w:pPr>
      <w:numPr>
        <w:ilvl w:val="4"/>
        <w:numId w:val="39"/>
      </w:numPr>
      <w:spacing w:before="240" w:after="60"/>
      <w:outlineLvl w:val="4"/>
    </w:pPr>
    <w:rPr>
      <w:b/>
      <w:bCs/>
      <w:i/>
      <w:iCs/>
      <w:sz w:val="26"/>
      <w:szCs w:val="26"/>
    </w:rPr>
  </w:style>
  <w:style w:type="paragraph" w:styleId="Heading6">
    <w:name w:val="heading 6"/>
    <w:basedOn w:val="Normal"/>
    <w:next w:val="Normal"/>
    <w:rsid w:val="00B3571B"/>
    <w:pPr>
      <w:numPr>
        <w:ilvl w:val="5"/>
        <w:numId w:val="39"/>
      </w:numPr>
      <w:spacing w:before="240" w:after="60"/>
      <w:outlineLvl w:val="5"/>
    </w:pPr>
    <w:rPr>
      <w:rFonts w:ascii="Times New Roman" w:hAnsi="Times New Roman" w:cs="Times New Roman"/>
      <w:b/>
      <w:bCs/>
      <w:szCs w:val="22"/>
    </w:rPr>
  </w:style>
  <w:style w:type="paragraph" w:styleId="Heading7">
    <w:name w:val="heading 7"/>
    <w:basedOn w:val="Normal"/>
    <w:next w:val="Normal"/>
    <w:rsid w:val="00B3571B"/>
    <w:pPr>
      <w:numPr>
        <w:ilvl w:val="6"/>
        <w:numId w:val="39"/>
      </w:numPr>
      <w:spacing w:before="240" w:after="60"/>
      <w:outlineLvl w:val="6"/>
    </w:pPr>
    <w:rPr>
      <w:rFonts w:ascii="Times New Roman" w:hAnsi="Times New Roman" w:cs="Times New Roman"/>
      <w:sz w:val="24"/>
      <w:szCs w:val="24"/>
    </w:rPr>
  </w:style>
  <w:style w:type="paragraph" w:styleId="Heading8">
    <w:name w:val="heading 8"/>
    <w:basedOn w:val="Normal"/>
    <w:next w:val="Normal"/>
    <w:rsid w:val="00B3571B"/>
    <w:pPr>
      <w:numPr>
        <w:ilvl w:val="7"/>
        <w:numId w:val="39"/>
      </w:numPr>
      <w:spacing w:before="240" w:after="60"/>
      <w:outlineLvl w:val="7"/>
    </w:pPr>
    <w:rPr>
      <w:rFonts w:ascii="Times New Roman" w:hAnsi="Times New Roman" w:cs="Times New Roman"/>
      <w:i/>
      <w:iCs/>
      <w:sz w:val="24"/>
      <w:szCs w:val="24"/>
    </w:rPr>
  </w:style>
  <w:style w:type="paragraph" w:styleId="Heading9">
    <w:name w:val="heading 9"/>
    <w:basedOn w:val="Normal"/>
    <w:next w:val="Normal"/>
    <w:rsid w:val="00B3571B"/>
    <w:pPr>
      <w:numPr>
        <w:ilvl w:val="8"/>
        <w:numId w:val="39"/>
      </w:numPr>
      <w:spacing w:before="240" w:after="60"/>
      <w:outlineLvl w:val="8"/>
    </w:pPr>
    <w:rPr>
      <w:rFonts w:ascii="Arial" w:hAnsi="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pPr>
      <w:spacing w:after="284" w:line="280" w:lineRule="atLeast"/>
    </w:pPr>
  </w:style>
  <w:style w:type="paragraph" w:styleId="Header">
    <w:name w:val="header"/>
    <w:pPr>
      <w:tabs>
        <w:tab w:val="right" w:pos="8562"/>
      </w:tabs>
    </w:pPr>
    <w:rPr>
      <w:rFonts w:ascii="Arial" w:hAnsi="Arial" w:cs="Arial"/>
      <w:b/>
      <w:color w:val="747678"/>
      <w:sz w:val="16"/>
    </w:rPr>
  </w:style>
  <w:style w:type="paragraph" w:styleId="Footer">
    <w:name w:val="footer"/>
    <w:link w:val="FooterChar"/>
    <w:uiPriority w:val="99"/>
    <w:pPr>
      <w:tabs>
        <w:tab w:val="center" w:pos="4153"/>
        <w:tab w:val="right" w:pos="8306"/>
      </w:tabs>
    </w:pPr>
    <w:rPr>
      <w:rFonts w:ascii="Arial" w:hAnsi="Arial" w:cs="Arial"/>
      <w:b/>
      <w:color w:val="747678"/>
      <w:sz w:val="13"/>
    </w:rPr>
  </w:style>
  <w:style w:type="paragraph" w:customStyle="1" w:styleId="AppendicesTitle">
    <w:name w:val="Appendices Title"/>
    <w:basedOn w:val="Heading2"/>
    <w:next w:val="Normal"/>
  </w:style>
  <w:style w:type="paragraph" w:styleId="Title">
    <w:name w:val="Title"/>
    <w:basedOn w:val="Normal"/>
    <w:next w:val="BodyText"/>
    <w:qFormat/>
    <w:rsid w:val="00B3571B"/>
    <w:pPr>
      <w:spacing w:before="400" w:after="400" w:line="580" w:lineRule="atLeast"/>
      <w:outlineLvl w:val="0"/>
    </w:pPr>
    <w:rPr>
      <w:bCs/>
      <w:kern w:val="28"/>
      <w:sz w:val="66"/>
      <w:szCs w:val="32"/>
    </w:rPr>
  </w:style>
  <w:style w:type="paragraph" w:styleId="ListBullet2">
    <w:name w:val="List Bullet 2"/>
    <w:basedOn w:val="Normal"/>
    <w:qFormat/>
    <w:pPr>
      <w:numPr>
        <w:ilvl w:val="1"/>
        <w:numId w:val="20"/>
      </w:numPr>
      <w:spacing w:after="20" w:line="260" w:lineRule="atLeast"/>
    </w:pPr>
  </w:style>
  <w:style w:type="paragraph" w:styleId="ListNumber2">
    <w:name w:val="List Number 2"/>
    <w:basedOn w:val="Normal"/>
    <w:qFormat/>
    <w:pPr>
      <w:numPr>
        <w:ilvl w:val="1"/>
        <w:numId w:val="18"/>
      </w:numPr>
      <w:spacing w:after="284" w:line="280" w:lineRule="atLeast"/>
    </w:pPr>
  </w:style>
  <w:style w:type="paragraph" w:styleId="ListNumber">
    <w:name w:val="List Number"/>
    <w:basedOn w:val="Normal"/>
    <w:qFormat/>
    <w:pPr>
      <w:numPr>
        <w:numId w:val="18"/>
      </w:numPr>
      <w:spacing w:after="284" w:line="280" w:lineRule="atLeast"/>
    </w:pPr>
  </w:style>
  <w:style w:type="paragraph" w:styleId="TOC2">
    <w:name w:val="toc 2"/>
    <w:next w:val="Normal"/>
    <w:semiHidden/>
    <w:pPr>
      <w:tabs>
        <w:tab w:val="right" w:pos="8505"/>
      </w:tabs>
      <w:spacing w:after="100"/>
      <w:ind w:left="198"/>
    </w:pPr>
    <w:rPr>
      <w:rFonts w:ascii="Arial" w:hAnsi="Arial" w:cs="Arial"/>
      <w:sz w:val="19"/>
      <w:szCs w:val="24"/>
    </w:rPr>
  </w:style>
  <w:style w:type="paragraph" w:styleId="TOC3">
    <w:name w:val="toc 3"/>
    <w:basedOn w:val="TOC2"/>
    <w:next w:val="Normal"/>
    <w:semiHidden/>
    <w:pPr>
      <w:ind w:left="403"/>
    </w:pPr>
  </w:style>
  <w:style w:type="paragraph" w:styleId="ListBullet">
    <w:name w:val="List Bullet"/>
    <w:basedOn w:val="Normal"/>
    <w:qFormat/>
    <w:pPr>
      <w:numPr>
        <w:numId w:val="20"/>
      </w:numPr>
      <w:spacing w:after="20" w:line="280" w:lineRule="atLeast"/>
    </w:pPr>
  </w:style>
  <w:style w:type="paragraph" w:customStyle="1" w:styleId="SectionTitle">
    <w:name w:val="Section Title"/>
    <w:next w:val="BodyText"/>
    <w:qFormat/>
    <w:pPr>
      <w:spacing w:after="2520"/>
    </w:pPr>
    <w:rPr>
      <w:rFonts w:ascii="Garamond" w:hAnsi="Garamond" w:cs="Arial"/>
      <w:sz w:val="48"/>
    </w:rPr>
  </w:style>
  <w:style w:type="paragraph" w:customStyle="1" w:styleId="TableText">
    <w:name w:val="Table Text"/>
    <w:qFormat/>
    <w:rPr>
      <w:rFonts w:ascii="Arial" w:hAnsi="Arial" w:cs="Arial"/>
      <w:sz w:val="16"/>
    </w:rPr>
  </w:style>
  <w:style w:type="paragraph" w:customStyle="1" w:styleId="TintBoxTextBlack">
    <w:name w:val="Tint Box Text Black"/>
    <w:pPr>
      <w:spacing w:after="280" w:line="280" w:lineRule="atLeast"/>
    </w:pPr>
    <w:rPr>
      <w:rFonts w:ascii="Arial" w:hAnsi="Arial" w:cs="Arial"/>
      <w:b/>
    </w:rPr>
  </w:style>
  <w:style w:type="paragraph" w:customStyle="1" w:styleId="TintBoxTextWhite">
    <w:name w:val="Tint Box Text White"/>
    <w:basedOn w:val="TintBoxTextBlack"/>
    <w:rPr>
      <w:color w:val="FFFFFF"/>
    </w:rPr>
  </w:style>
  <w:style w:type="paragraph" w:customStyle="1" w:styleId="AppendixTitle">
    <w:name w:val="Appendix Title"/>
    <w:basedOn w:val="Normal"/>
    <w:next w:val="BodyText"/>
    <w:qFormat/>
    <w:pPr>
      <w:spacing w:after="2520"/>
    </w:pPr>
    <w:rPr>
      <w:bCs/>
      <w:kern w:val="28"/>
      <w:sz w:val="48"/>
      <w:szCs w:val="32"/>
    </w:rPr>
  </w:style>
  <w:style w:type="paragraph" w:styleId="ListNumber3">
    <w:name w:val="List Number 3"/>
    <w:basedOn w:val="Normal"/>
    <w:qFormat/>
    <w:pPr>
      <w:numPr>
        <w:ilvl w:val="2"/>
        <w:numId w:val="18"/>
      </w:numPr>
      <w:spacing w:after="284" w:line="280" w:lineRule="atLeast"/>
      <w:ind w:left="1071" w:hanging="357"/>
    </w:pPr>
  </w:style>
  <w:style w:type="paragraph" w:customStyle="1" w:styleId="TableHeading">
    <w:name w:val="Table Heading"/>
    <w:qFormat/>
    <w:rsid w:val="005B36B4"/>
    <w:rPr>
      <w:rFonts w:ascii="Arial" w:hAnsi="Arial" w:cs="Arial"/>
      <w:b/>
      <w:bCs/>
      <w:kern w:val="28"/>
      <w:sz w:val="18"/>
      <w:szCs w:val="32"/>
    </w:rPr>
  </w:style>
  <w:style w:type="paragraph" w:customStyle="1" w:styleId="MarginNotes">
    <w:name w:val="Margin Notes"/>
    <w:qFormat/>
    <w:rPr>
      <w:rFonts w:ascii="Arial" w:hAnsi="Arial" w:cs="Arial"/>
      <w:sz w:val="16"/>
    </w:rPr>
  </w:style>
  <w:style w:type="paragraph" w:styleId="TOC1">
    <w:name w:val="toc 1"/>
    <w:next w:val="Normal"/>
    <w:semiHidden/>
    <w:pPr>
      <w:tabs>
        <w:tab w:val="right" w:pos="8505"/>
      </w:tabs>
      <w:spacing w:before="165" w:after="100"/>
    </w:pPr>
    <w:rPr>
      <w:rFonts w:ascii="Arial" w:hAnsi="Arial" w:cs="Arial"/>
      <w:sz w:val="19"/>
    </w:rPr>
  </w:style>
  <w:style w:type="paragraph" w:styleId="Subtitle">
    <w:name w:val="Subtitle"/>
    <w:qFormat/>
    <w:rsid w:val="00B3571B"/>
    <w:pPr>
      <w:spacing w:line="280" w:lineRule="atLeast"/>
      <w:outlineLvl w:val="1"/>
    </w:pPr>
    <w:rPr>
      <w:rFonts w:ascii="Arial" w:hAnsi="Arial" w:cs="Arial"/>
      <w:bCs/>
      <w:kern w:val="28"/>
      <w:sz w:val="24"/>
      <w:szCs w:val="24"/>
    </w:rPr>
  </w:style>
  <w:style w:type="paragraph" w:customStyle="1" w:styleId="ChapterTitle">
    <w:name w:val="Chapter Title"/>
    <w:basedOn w:val="Subtitle"/>
    <w:qFormat/>
    <w:pPr>
      <w:pBdr>
        <w:bottom w:val="single" w:sz="4" w:space="5" w:color="auto"/>
      </w:pBdr>
    </w:pPr>
    <w:rPr>
      <w:sz w:val="20"/>
    </w:rPr>
  </w:style>
  <w:style w:type="paragraph" w:customStyle="1" w:styleId="Contents">
    <w:name w:val="Contents"/>
    <w:next w:val="Normal"/>
    <w:pPr>
      <w:spacing w:after="2520" w:line="580" w:lineRule="atLeast"/>
    </w:pPr>
    <w:rPr>
      <w:rFonts w:ascii="Garamond" w:hAnsi="Garamond" w:cs="Arial"/>
      <w:sz w:val="66"/>
    </w:rPr>
  </w:style>
  <w:style w:type="paragraph" w:customStyle="1" w:styleId="Copyright">
    <w:name w:val="Copyright"/>
    <w:semiHidden/>
    <w:pPr>
      <w:spacing w:line="220" w:lineRule="atLeast"/>
    </w:pPr>
    <w:rPr>
      <w:rFonts w:ascii="Garamond" w:hAnsi="Garamond" w:cs="Arial"/>
    </w:rPr>
  </w:style>
  <w:style w:type="paragraph" w:customStyle="1" w:styleId="ReferenceText">
    <w:name w:val="Reference Text"/>
    <w:rPr>
      <w:rFonts w:ascii="Arial" w:hAnsi="Arial" w:cs="Arial"/>
      <w:kern w:val="32"/>
      <w:sz w:val="18"/>
      <w:szCs w:val="24"/>
    </w:rPr>
  </w:style>
  <w:style w:type="paragraph" w:customStyle="1" w:styleId="ReferenceTitle">
    <w:name w:val="Reference Title"/>
    <w:next w:val="ReferenceText"/>
    <w:rPr>
      <w:rFonts w:ascii="Arial Black" w:hAnsi="Arial Black" w:cs="Arial"/>
      <w:kern w:val="32"/>
      <w:sz w:val="18"/>
      <w:szCs w:val="24"/>
    </w:rPr>
  </w:style>
  <w:style w:type="paragraph" w:customStyle="1" w:styleId="LandscapeHeader">
    <w:name w:val="Landscape Header"/>
    <w:basedOn w:val="Header"/>
    <w:semiHidden/>
    <w:pPr>
      <w:tabs>
        <w:tab w:val="clear" w:pos="8562"/>
        <w:tab w:val="right" w:pos="13438"/>
      </w:tabs>
    </w:pPr>
  </w:style>
  <w:style w:type="paragraph" w:customStyle="1" w:styleId="ParagraphBullet">
    <w:name w:val="Paragraph Bullet"/>
    <w:basedOn w:val="Normal"/>
    <w:qFormat/>
    <w:pPr>
      <w:numPr>
        <w:numId w:val="32"/>
      </w:numPr>
      <w:spacing w:after="284" w:line="280" w:lineRule="atLeast"/>
    </w:pPr>
  </w:style>
  <w:style w:type="paragraph" w:customStyle="1" w:styleId="ParagraphBullet2">
    <w:name w:val="Paragraph Bullet 2"/>
    <w:basedOn w:val="Normal"/>
    <w:qFormat/>
    <w:pPr>
      <w:numPr>
        <w:ilvl w:val="1"/>
        <w:numId w:val="32"/>
      </w:numPr>
      <w:spacing w:after="284" w:line="280" w:lineRule="atLeast"/>
    </w:pPr>
  </w:style>
  <w:style w:type="paragraph" w:customStyle="1" w:styleId="MarginNotesHeading">
    <w:name w:val="Margin Notes Heading"/>
    <w:basedOn w:val="MarginNotes"/>
    <w:qFormat/>
    <w:rPr>
      <w:b/>
    </w:rPr>
  </w:style>
  <w:style w:type="paragraph" w:styleId="Quote">
    <w:name w:val="Quote"/>
    <w:basedOn w:val="BodyText"/>
    <w:qFormat/>
    <w:rsid w:val="00B3571B"/>
    <w:pPr>
      <w:spacing w:line="340" w:lineRule="atLeast"/>
    </w:pPr>
    <w:rPr>
      <w:sz w:val="28"/>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paragraph" w:customStyle="1" w:styleId="ContactDetails">
    <w:name w:val="Contact Details"/>
    <w:qFormat/>
    <w:rPr>
      <w:rFonts w:ascii="Arial" w:hAnsi="Arial" w:cs="Arial"/>
      <w:sz w:val="16"/>
    </w:rPr>
  </w:style>
  <w:style w:type="paragraph" w:customStyle="1" w:styleId="ContactDetailsTitle">
    <w:name w:val="Contact Details Title"/>
    <w:basedOn w:val="ContactDetails"/>
    <w:next w:val="ContactDetails"/>
    <w:qFormat/>
    <w:rPr>
      <w:b/>
    </w:rPr>
  </w:style>
  <w:style w:type="paragraph" w:customStyle="1" w:styleId="NumberedHeading1">
    <w:name w:val="Numbered Heading 1"/>
    <w:next w:val="BodyText"/>
    <w:qFormat/>
    <w:pPr>
      <w:numPr>
        <w:numId w:val="34"/>
      </w:numPr>
      <w:spacing w:line="260" w:lineRule="atLeast"/>
    </w:pPr>
    <w:rPr>
      <w:rFonts w:ascii="Arial Black" w:hAnsi="Arial Black" w:cs="Arial"/>
      <w:color w:val="4B217E"/>
      <w:sz w:val="19"/>
    </w:rPr>
  </w:style>
  <w:style w:type="paragraph" w:customStyle="1" w:styleId="NumberedHeading2">
    <w:name w:val="Numbered Heading 2"/>
    <w:next w:val="BodyText"/>
    <w:qFormat/>
    <w:pPr>
      <w:numPr>
        <w:ilvl w:val="1"/>
        <w:numId w:val="34"/>
      </w:numPr>
      <w:spacing w:line="260" w:lineRule="atLeast"/>
    </w:pPr>
    <w:rPr>
      <w:rFonts w:ascii="Arial Black" w:hAnsi="Arial Black" w:cs="Arial"/>
      <w:color w:val="4B217E"/>
      <w:sz w:val="19"/>
    </w:rPr>
  </w:style>
  <w:style w:type="table" w:customStyle="1" w:styleId="GTITableStyle1">
    <w:name w:val="GTI Table Style 1"/>
    <w:basedOn w:val="TableNormal"/>
    <w:uiPriority w:val="99"/>
    <w:rsid w:val="00520EF0"/>
    <w:tblPr>
      <w:tblBorders>
        <w:top w:val="single" w:sz="12" w:space="0" w:color="4F2D7F"/>
        <w:bottom w:val="single" w:sz="12" w:space="0" w:color="4F2D7F"/>
        <w:insideH w:val="single" w:sz="4" w:space="0" w:color="4F2D7F"/>
      </w:tblBorders>
    </w:tblPr>
    <w:tcPr>
      <w:shd w:val="clear" w:color="auto" w:fill="auto"/>
    </w:tcPr>
  </w:style>
  <w:style w:type="table" w:customStyle="1" w:styleId="GTITableStyle3">
    <w:name w:val="GTI Table Style 3"/>
    <w:basedOn w:val="TableNormal"/>
    <w:uiPriority w:val="99"/>
    <w:rsid w:val="008612FE"/>
    <w:tblPr>
      <w:tblBorders>
        <w:top w:val="single" w:sz="12" w:space="0" w:color="4F2D7F"/>
        <w:bottom w:val="single" w:sz="12" w:space="0" w:color="4F2D7F"/>
        <w:insideH w:val="single" w:sz="4" w:space="0" w:color="4F2D7F"/>
      </w:tblBorders>
    </w:tblPr>
    <w:tcPr>
      <w:shd w:val="clear" w:color="auto" w:fill="DACDED"/>
    </w:tcPr>
    <w:tblStylePr w:type="lastCol">
      <w:tblPr/>
      <w:tcPr>
        <w:shd w:val="clear" w:color="auto" w:fill="B59BDB"/>
      </w:tcPr>
    </w:tblStylePr>
  </w:style>
  <w:style w:type="table" w:styleId="TableGrid">
    <w:name w:val="Table Grid"/>
    <w:basedOn w:val="TableNormal"/>
    <w:rsid w:val="007534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rsid w:val="00CF293F"/>
    <w:rPr>
      <w:rFonts w:ascii="Garamond" w:hAnsi="Garamond" w:cs="Arial"/>
      <w:sz w:val="22"/>
      <w:lang w:val="en-US"/>
    </w:rPr>
  </w:style>
  <w:style w:type="table" w:styleId="MediumList2-Accent1">
    <w:name w:val="Medium List 2 Accent 1"/>
    <w:basedOn w:val="TableNormal"/>
    <w:uiPriority w:val="66"/>
    <w:rsid w:val="00CF293F"/>
    <w:rPr>
      <w:rFonts w:asciiTheme="majorHAnsi" w:eastAsiaTheme="majorEastAsia" w:hAnsiTheme="majorHAnsi" w:cstheme="majorBidi"/>
      <w:color w:val="000000" w:themeColor="text1"/>
      <w:sz w:val="22"/>
      <w:szCs w:val="22"/>
      <w:lang w:eastAsia="ja-JP"/>
    </w:rPr>
    <w:tblPr>
      <w:tblStyleRowBandSize w:val="1"/>
      <w:tblStyleColBandSize w:val="1"/>
      <w:tblBorders>
        <w:top w:val="single" w:sz="8" w:space="0" w:color="4F2D7F" w:themeColor="accent1"/>
        <w:left w:val="single" w:sz="8" w:space="0" w:color="4F2D7F" w:themeColor="accent1"/>
        <w:bottom w:val="single" w:sz="8" w:space="0" w:color="4F2D7F" w:themeColor="accent1"/>
        <w:right w:val="single" w:sz="8" w:space="0" w:color="4F2D7F" w:themeColor="accent1"/>
      </w:tblBorders>
    </w:tblPr>
    <w:tblStylePr w:type="firstRow">
      <w:rPr>
        <w:sz w:val="24"/>
        <w:szCs w:val="24"/>
      </w:rPr>
      <w:tblPr/>
      <w:tcPr>
        <w:tcBorders>
          <w:top w:val="nil"/>
          <w:left w:val="nil"/>
          <w:bottom w:val="single" w:sz="24" w:space="0" w:color="4F2D7F" w:themeColor="accent1"/>
          <w:right w:val="nil"/>
          <w:insideH w:val="nil"/>
          <w:insideV w:val="nil"/>
        </w:tcBorders>
        <w:shd w:val="clear" w:color="auto" w:fill="FFFFFF" w:themeFill="background1"/>
      </w:tcPr>
    </w:tblStylePr>
    <w:tblStylePr w:type="lastRow">
      <w:tblPr/>
      <w:tcPr>
        <w:tcBorders>
          <w:top w:val="single" w:sz="8" w:space="0" w:color="4F2D7F"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2D7F" w:themeColor="accent1"/>
          <w:insideH w:val="nil"/>
          <w:insideV w:val="nil"/>
        </w:tcBorders>
        <w:shd w:val="clear" w:color="auto" w:fill="FFFFFF" w:themeFill="background1"/>
      </w:tcPr>
    </w:tblStylePr>
    <w:tblStylePr w:type="lastCol">
      <w:tblPr/>
      <w:tcPr>
        <w:tcBorders>
          <w:top w:val="nil"/>
          <w:left w:val="single" w:sz="8" w:space="0" w:color="4F2D7F"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1C1E9" w:themeFill="accent1" w:themeFillTint="3F"/>
      </w:tcPr>
    </w:tblStylePr>
    <w:tblStylePr w:type="band1Horz">
      <w:tblPr/>
      <w:tcPr>
        <w:tcBorders>
          <w:top w:val="nil"/>
          <w:bottom w:val="nil"/>
          <w:insideH w:val="nil"/>
          <w:insideV w:val="nil"/>
        </w:tcBorders>
        <w:shd w:val="clear" w:color="auto" w:fill="D1C1E9" w:themeFill="accen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IntenseQuote">
    <w:name w:val="Intense Quote"/>
    <w:basedOn w:val="Normal"/>
    <w:next w:val="Normal"/>
    <w:link w:val="IntenseQuoteChar"/>
    <w:uiPriority w:val="30"/>
    <w:rsid w:val="004C13D3"/>
    <w:pPr>
      <w:pBdr>
        <w:bottom w:val="single" w:sz="4" w:space="4" w:color="4F2D7F" w:themeColor="accent1"/>
      </w:pBdr>
      <w:spacing w:before="200" w:after="280"/>
      <w:ind w:left="936" w:right="936"/>
    </w:pPr>
    <w:rPr>
      <w:b/>
      <w:bCs/>
      <w:i/>
      <w:iCs/>
      <w:color w:val="4F2D7F" w:themeColor="accent1"/>
    </w:rPr>
  </w:style>
  <w:style w:type="character" w:customStyle="1" w:styleId="IntenseQuoteChar">
    <w:name w:val="Intense Quote Char"/>
    <w:basedOn w:val="DefaultParagraphFont"/>
    <w:link w:val="IntenseQuote"/>
    <w:uiPriority w:val="30"/>
    <w:rsid w:val="004C13D3"/>
    <w:rPr>
      <w:rFonts w:ascii="Garamond" w:hAnsi="Garamond" w:cs="Arial"/>
      <w:b/>
      <w:bCs/>
      <w:i/>
      <w:iCs/>
      <w:color w:val="4F2D7F" w:themeColor="accent1"/>
      <w:sz w:val="22"/>
      <w:lang w:val="en-US"/>
    </w:rPr>
  </w:style>
  <w:style w:type="paragraph" w:styleId="BalloonText">
    <w:name w:val="Balloon Text"/>
    <w:basedOn w:val="Normal"/>
    <w:link w:val="BalloonTextChar"/>
    <w:rsid w:val="00DD5DC6"/>
    <w:rPr>
      <w:rFonts w:ascii="Tahoma" w:hAnsi="Tahoma" w:cs="Tahoma"/>
      <w:sz w:val="16"/>
      <w:szCs w:val="16"/>
    </w:rPr>
  </w:style>
  <w:style w:type="character" w:customStyle="1" w:styleId="BalloonTextChar">
    <w:name w:val="Balloon Text Char"/>
    <w:basedOn w:val="DefaultParagraphFont"/>
    <w:link w:val="BalloonText"/>
    <w:rsid w:val="00DD5DC6"/>
    <w:rPr>
      <w:rFonts w:ascii="Tahoma" w:hAnsi="Tahoma" w:cs="Tahoma"/>
      <w:sz w:val="16"/>
      <w:szCs w:val="16"/>
      <w:lang w:val="en-US"/>
    </w:rPr>
  </w:style>
  <w:style w:type="paragraph" w:styleId="Bibliography">
    <w:name w:val="Bibliography"/>
    <w:basedOn w:val="Normal"/>
    <w:next w:val="Normal"/>
    <w:uiPriority w:val="37"/>
    <w:semiHidden/>
    <w:unhideWhenUsed/>
    <w:rsid w:val="00DD5DC6"/>
  </w:style>
  <w:style w:type="paragraph" w:styleId="BlockText">
    <w:name w:val="Block Text"/>
    <w:basedOn w:val="Normal"/>
    <w:rsid w:val="00DD5DC6"/>
    <w:pPr>
      <w:pBdr>
        <w:top w:val="single" w:sz="2" w:space="10" w:color="4F2D7F" w:themeColor="accent1" w:shadow="1"/>
        <w:left w:val="single" w:sz="2" w:space="10" w:color="4F2D7F" w:themeColor="accent1" w:shadow="1"/>
        <w:bottom w:val="single" w:sz="2" w:space="10" w:color="4F2D7F" w:themeColor="accent1" w:shadow="1"/>
        <w:right w:val="single" w:sz="2" w:space="10" w:color="4F2D7F" w:themeColor="accent1" w:shadow="1"/>
      </w:pBdr>
      <w:ind w:left="1152" w:right="1152"/>
    </w:pPr>
    <w:rPr>
      <w:rFonts w:asciiTheme="minorHAnsi" w:eastAsiaTheme="minorEastAsia" w:hAnsiTheme="minorHAnsi" w:cstheme="minorBidi"/>
      <w:i/>
      <w:iCs/>
      <w:color w:val="4F2D7F" w:themeColor="accent1"/>
    </w:rPr>
  </w:style>
  <w:style w:type="paragraph" w:styleId="BodyText2">
    <w:name w:val="Body Text 2"/>
    <w:basedOn w:val="Normal"/>
    <w:link w:val="BodyText2Char"/>
    <w:rsid w:val="00DD5DC6"/>
    <w:pPr>
      <w:spacing w:after="120" w:line="480" w:lineRule="auto"/>
    </w:pPr>
  </w:style>
  <w:style w:type="character" w:customStyle="1" w:styleId="BodyText2Char">
    <w:name w:val="Body Text 2 Char"/>
    <w:basedOn w:val="DefaultParagraphFont"/>
    <w:link w:val="BodyText2"/>
    <w:rsid w:val="00DD5DC6"/>
    <w:rPr>
      <w:rFonts w:ascii="Garamond" w:hAnsi="Garamond" w:cs="Arial"/>
      <w:sz w:val="22"/>
      <w:lang w:val="en-US"/>
    </w:rPr>
  </w:style>
  <w:style w:type="paragraph" w:styleId="BodyText3">
    <w:name w:val="Body Text 3"/>
    <w:basedOn w:val="Normal"/>
    <w:link w:val="BodyText3Char"/>
    <w:rsid w:val="00DD5DC6"/>
    <w:pPr>
      <w:spacing w:after="120"/>
    </w:pPr>
    <w:rPr>
      <w:sz w:val="16"/>
      <w:szCs w:val="16"/>
    </w:rPr>
  </w:style>
  <w:style w:type="character" w:customStyle="1" w:styleId="BodyText3Char">
    <w:name w:val="Body Text 3 Char"/>
    <w:basedOn w:val="DefaultParagraphFont"/>
    <w:link w:val="BodyText3"/>
    <w:rsid w:val="00DD5DC6"/>
    <w:rPr>
      <w:rFonts w:ascii="Garamond" w:hAnsi="Garamond" w:cs="Arial"/>
      <w:sz w:val="16"/>
      <w:szCs w:val="16"/>
      <w:lang w:val="en-US"/>
    </w:rPr>
  </w:style>
  <w:style w:type="paragraph" w:styleId="BodyTextFirstIndent">
    <w:name w:val="Body Text First Indent"/>
    <w:basedOn w:val="BodyText"/>
    <w:link w:val="BodyTextFirstIndentChar"/>
    <w:rsid w:val="00DD5DC6"/>
    <w:pPr>
      <w:spacing w:after="0" w:line="240" w:lineRule="auto"/>
      <w:ind w:firstLine="360"/>
    </w:pPr>
  </w:style>
  <w:style w:type="character" w:customStyle="1" w:styleId="BodyTextFirstIndentChar">
    <w:name w:val="Body Text First Indent Char"/>
    <w:basedOn w:val="BodyTextChar"/>
    <w:link w:val="BodyTextFirstIndent"/>
    <w:rsid w:val="00DD5DC6"/>
    <w:rPr>
      <w:rFonts w:ascii="Garamond" w:hAnsi="Garamond" w:cs="Arial"/>
      <w:sz w:val="22"/>
      <w:lang w:val="en-US"/>
    </w:rPr>
  </w:style>
  <w:style w:type="paragraph" w:styleId="BodyTextIndent">
    <w:name w:val="Body Text Indent"/>
    <w:basedOn w:val="Normal"/>
    <w:link w:val="BodyTextIndentChar"/>
    <w:rsid w:val="00DD5DC6"/>
    <w:pPr>
      <w:spacing w:after="120"/>
      <w:ind w:left="360"/>
    </w:pPr>
  </w:style>
  <w:style w:type="character" w:customStyle="1" w:styleId="BodyTextIndentChar">
    <w:name w:val="Body Text Indent Char"/>
    <w:basedOn w:val="DefaultParagraphFont"/>
    <w:link w:val="BodyTextIndent"/>
    <w:rsid w:val="00DD5DC6"/>
    <w:rPr>
      <w:rFonts w:ascii="Garamond" w:hAnsi="Garamond" w:cs="Arial"/>
      <w:sz w:val="22"/>
      <w:lang w:val="en-US"/>
    </w:rPr>
  </w:style>
  <w:style w:type="paragraph" w:styleId="BodyTextFirstIndent2">
    <w:name w:val="Body Text First Indent 2"/>
    <w:basedOn w:val="BodyTextIndent"/>
    <w:link w:val="BodyTextFirstIndent2Char"/>
    <w:rsid w:val="00DD5DC6"/>
    <w:pPr>
      <w:spacing w:after="0"/>
      <w:ind w:firstLine="360"/>
    </w:pPr>
  </w:style>
  <w:style w:type="character" w:customStyle="1" w:styleId="BodyTextFirstIndent2Char">
    <w:name w:val="Body Text First Indent 2 Char"/>
    <w:basedOn w:val="BodyTextIndentChar"/>
    <w:link w:val="BodyTextFirstIndent2"/>
    <w:rsid w:val="00DD5DC6"/>
    <w:rPr>
      <w:rFonts w:ascii="Garamond" w:hAnsi="Garamond" w:cs="Arial"/>
      <w:sz w:val="22"/>
      <w:lang w:val="en-US"/>
    </w:rPr>
  </w:style>
  <w:style w:type="paragraph" w:styleId="BodyTextIndent2">
    <w:name w:val="Body Text Indent 2"/>
    <w:basedOn w:val="Normal"/>
    <w:link w:val="BodyTextIndent2Char"/>
    <w:rsid w:val="00DD5DC6"/>
    <w:pPr>
      <w:spacing w:after="120" w:line="480" w:lineRule="auto"/>
      <w:ind w:left="360"/>
    </w:pPr>
  </w:style>
  <w:style w:type="character" w:customStyle="1" w:styleId="BodyTextIndent2Char">
    <w:name w:val="Body Text Indent 2 Char"/>
    <w:basedOn w:val="DefaultParagraphFont"/>
    <w:link w:val="BodyTextIndent2"/>
    <w:rsid w:val="00DD5DC6"/>
    <w:rPr>
      <w:rFonts w:ascii="Garamond" w:hAnsi="Garamond" w:cs="Arial"/>
      <w:sz w:val="22"/>
      <w:lang w:val="en-US"/>
    </w:rPr>
  </w:style>
  <w:style w:type="paragraph" w:styleId="BodyTextIndent3">
    <w:name w:val="Body Text Indent 3"/>
    <w:basedOn w:val="Normal"/>
    <w:link w:val="BodyTextIndent3Char"/>
    <w:rsid w:val="00DD5DC6"/>
    <w:pPr>
      <w:spacing w:after="120"/>
      <w:ind w:left="360"/>
    </w:pPr>
    <w:rPr>
      <w:sz w:val="16"/>
      <w:szCs w:val="16"/>
    </w:rPr>
  </w:style>
  <w:style w:type="character" w:customStyle="1" w:styleId="BodyTextIndent3Char">
    <w:name w:val="Body Text Indent 3 Char"/>
    <w:basedOn w:val="DefaultParagraphFont"/>
    <w:link w:val="BodyTextIndent3"/>
    <w:rsid w:val="00DD5DC6"/>
    <w:rPr>
      <w:rFonts w:ascii="Garamond" w:hAnsi="Garamond" w:cs="Arial"/>
      <w:sz w:val="16"/>
      <w:szCs w:val="16"/>
      <w:lang w:val="en-US"/>
    </w:rPr>
  </w:style>
  <w:style w:type="character" w:styleId="BookTitle">
    <w:name w:val="Book Title"/>
    <w:basedOn w:val="DefaultParagraphFont"/>
    <w:uiPriority w:val="33"/>
    <w:rsid w:val="00DD5DC6"/>
    <w:rPr>
      <w:b/>
      <w:bCs/>
      <w:smallCaps/>
      <w:spacing w:val="5"/>
      <w:lang w:val="en-US"/>
    </w:rPr>
  </w:style>
  <w:style w:type="paragraph" w:styleId="Caption">
    <w:name w:val="caption"/>
    <w:basedOn w:val="Normal"/>
    <w:next w:val="Normal"/>
    <w:semiHidden/>
    <w:unhideWhenUsed/>
    <w:qFormat/>
    <w:rsid w:val="00DD5DC6"/>
    <w:pPr>
      <w:spacing w:after="200"/>
    </w:pPr>
    <w:rPr>
      <w:b/>
      <w:bCs/>
      <w:color w:val="4F2D7F" w:themeColor="accent1"/>
      <w:sz w:val="18"/>
      <w:szCs w:val="18"/>
    </w:rPr>
  </w:style>
  <w:style w:type="paragraph" w:styleId="Closing">
    <w:name w:val="Closing"/>
    <w:basedOn w:val="Normal"/>
    <w:link w:val="ClosingChar"/>
    <w:rsid w:val="00DD5DC6"/>
    <w:pPr>
      <w:ind w:left="4320"/>
    </w:pPr>
  </w:style>
  <w:style w:type="character" w:customStyle="1" w:styleId="ClosingChar">
    <w:name w:val="Closing Char"/>
    <w:basedOn w:val="DefaultParagraphFont"/>
    <w:link w:val="Closing"/>
    <w:rsid w:val="00DD5DC6"/>
    <w:rPr>
      <w:rFonts w:ascii="Garamond" w:hAnsi="Garamond" w:cs="Arial"/>
      <w:sz w:val="22"/>
      <w:lang w:val="en-US"/>
    </w:rPr>
  </w:style>
  <w:style w:type="table" w:styleId="ColorfulGrid">
    <w:name w:val="Colorful Grid"/>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DACDED" w:themeFill="accent1" w:themeFillTint="33"/>
    </w:tcPr>
    <w:tblStylePr w:type="firstRow">
      <w:rPr>
        <w:b/>
        <w:bCs/>
      </w:rPr>
      <w:tblPr/>
      <w:tcPr>
        <w:shd w:val="clear" w:color="auto" w:fill="B59BDB" w:themeFill="accent1" w:themeFillTint="66"/>
      </w:tcPr>
    </w:tblStylePr>
    <w:tblStylePr w:type="lastRow">
      <w:rPr>
        <w:b/>
        <w:bCs/>
        <w:color w:val="000000" w:themeColor="text1"/>
      </w:rPr>
      <w:tblPr/>
      <w:tcPr>
        <w:shd w:val="clear" w:color="auto" w:fill="B59BDB" w:themeFill="accent1" w:themeFillTint="66"/>
      </w:tcPr>
    </w:tblStylePr>
    <w:tblStylePr w:type="firstCol">
      <w:rPr>
        <w:color w:val="FFFFFF" w:themeColor="background1"/>
      </w:rPr>
      <w:tblPr/>
      <w:tcPr>
        <w:shd w:val="clear" w:color="auto" w:fill="3A215E" w:themeFill="accent1" w:themeFillShade="BF"/>
      </w:tcPr>
    </w:tblStylePr>
    <w:tblStylePr w:type="lastCol">
      <w:rPr>
        <w:color w:val="FFFFFF" w:themeColor="background1"/>
      </w:rPr>
      <w:tblPr/>
      <w:tcPr>
        <w:shd w:val="clear" w:color="auto" w:fill="3A215E" w:themeFill="accent1" w:themeFillShade="BF"/>
      </w:tcPr>
    </w:tblStylePr>
    <w:tblStylePr w:type="band1Vert">
      <w:tblPr/>
      <w:tcPr>
        <w:shd w:val="clear" w:color="auto" w:fill="A382D3" w:themeFill="accent1" w:themeFillTint="7F"/>
      </w:tcPr>
    </w:tblStylePr>
    <w:tblStylePr w:type="band1Horz">
      <w:tblPr/>
      <w:tcPr>
        <w:shd w:val="clear" w:color="auto" w:fill="A382D3" w:themeFill="accent1" w:themeFillTint="7F"/>
      </w:tcPr>
    </w:tblStylePr>
  </w:style>
  <w:style w:type="table" w:styleId="ColorfulGrid-Accent2">
    <w:name w:val="Colorful Grid Accent 2"/>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FFC0D6" w:themeFill="accent2" w:themeFillTint="33"/>
    </w:tcPr>
    <w:tblStylePr w:type="firstRow">
      <w:rPr>
        <w:b/>
        <w:bCs/>
      </w:rPr>
      <w:tblPr/>
      <w:tcPr>
        <w:shd w:val="clear" w:color="auto" w:fill="FF81AD" w:themeFill="accent2" w:themeFillTint="66"/>
      </w:tcPr>
    </w:tblStylePr>
    <w:tblStylePr w:type="lastRow">
      <w:rPr>
        <w:b/>
        <w:bCs/>
        <w:color w:val="000000" w:themeColor="text1"/>
      </w:rPr>
      <w:tblPr/>
      <w:tcPr>
        <w:shd w:val="clear" w:color="auto" w:fill="FF81AD" w:themeFill="accent2" w:themeFillTint="66"/>
      </w:tcPr>
    </w:tblStylePr>
    <w:tblStylePr w:type="firstCol">
      <w:rPr>
        <w:color w:val="FFFFFF" w:themeColor="background1"/>
      </w:rPr>
      <w:tblPr/>
      <w:tcPr>
        <w:shd w:val="clear" w:color="auto" w:fill="920033" w:themeFill="accent2" w:themeFillShade="BF"/>
      </w:tcPr>
    </w:tblStylePr>
    <w:tblStylePr w:type="lastCol">
      <w:rPr>
        <w:color w:val="FFFFFF" w:themeColor="background1"/>
      </w:rPr>
      <w:tblPr/>
      <w:tcPr>
        <w:shd w:val="clear" w:color="auto" w:fill="920033" w:themeFill="accent2" w:themeFillShade="BF"/>
      </w:tcPr>
    </w:tblStylePr>
    <w:tblStylePr w:type="band1Vert">
      <w:tblPr/>
      <w:tcPr>
        <w:shd w:val="clear" w:color="auto" w:fill="FF6299" w:themeFill="accent2" w:themeFillTint="7F"/>
      </w:tcPr>
    </w:tblStylePr>
    <w:tblStylePr w:type="band1Horz">
      <w:tblPr/>
      <w:tcPr>
        <w:shd w:val="clear" w:color="auto" w:fill="FF6299" w:themeFill="accent2" w:themeFillTint="7F"/>
      </w:tcPr>
    </w:tblStylePr>
  </w:style>
  <w:style w:type="table" w:styleId="ColorfulGrid-Accent3">
    <w:name w:val="Colorful Grid Accent 3"/>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FDBFF6" w:themeFill="accent3" w:themeFillTint="33"/>
    </w:tcPr>
    <w:tblStylePr w:type="firstRow">
      <w:rPr>
        <w:b/>
        <w:bCs/>
      </w:rPr>
      <w:tblPr/>
      <w:tcPr>
        <w:shd w:val="clear" w:color="auto" w:fill="FB7FEC" w:themeFill="accent3" w:themeFillTint="66"/>
      </w:tcPr>
    </w:tblStylePr>
    <w:tblStylePr w:type="lastRow">
      <w:rPr>
        <w:b/>
        <w:bCs/>
        <w:color w:val="000000" w:themeColor="text1"/>
      </w:rPr>
      <w:tblPr/>
      <w:tcPr>
        <w:shd w:val="clear" w:color="auto" w:fill="FB7FEC" w:themeFill="accent3" w:themeFillTint="66"/>
      </w:tcPr>
    </w:tblStylePr>
    <w:tblStylePr w:type="firstCol">
      <w:rPr>
        <w:color w:val="FFFFFF" w:themeColor="background1"/>
      </w:rPr>
      <w:tblPr/>
      <w:tcPr>
        <w:shd w:val="clear" w:color="auto" w:fill="840375" w:themeFill="accent3" w:themeFillShade="BF"/>
      </w:tcPr>
    </w:tblStylePr>
    <w:tblStylePr w:type="lastCol">
      <w:rPr>
        <w:color w:val="FFFFFF" w:themeColor="background1"/>
      </w:rPr>
      <w:tblPr/>
      <w:tcPr>
        <w:shd w:val="clear" w:color="auto" w:fill="840375" w:themeFill="accent3" w:themeFillShade="BF"/>
      </w:tcPr>
    </w:tblStylePr>
    <w:tblStylePr w:type="band1Vert">
      <w:tblPr/>
      <w:tcPr>
        <w:shd w:val="clear" w:color="auto" w:fill="FA5FE8" w:themeFill="accent3" w:themeFillTint="7F"/>
      </w:tcPr>
    </w:tblStylePr>
    <w:tblStylePr w:type="band1Horz">
      <w:tblPr/>
      <w:tcPr>
        <w:shd w:val="clear" w:color="auto" w:fill="FA5FE8" w:themeFill="accent3" w:themeFillTint="7F"/>
      </w:tcPr>
    </w:tblStylePr>
  </w:style>
  <w:style w:type="table" w:styleId="ColorfulGrid-Accent4">
    <w:name w:val="Colorful Grid Accent 4"/>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AEFFED" w:themeFill="accent4" w:themeFillTint="33"/>
    </w:tcPr>
    <w:tblStylePr w:type="firstRow">
      <w:rPr>
        <w:b/>
        <w:bCs/>
      </w:rPr>
      <w:tblPr/>
      <w:tcPr>
        <w:shd w:val="clear" w:color="auto" w:fill="5EFFDB" w:themeFill="accent4" w:themeFillTint="66"/>
      </w:tcPr>
    </w:tblStylePr>
    <w:tblStylePr w:type="lastRow">
      <w:rPr>
        <w:b/>
        <w:bCs/>
        <w:color w:val="000000" w:themeColor="text1"/>
      </w:rPr>
      <w:tblPr/>
      <w:tcPr>
        <w:shd w:val="clear" w:color="auto" w:fill="5EFFDB" w:themeFill="accent4" w:themeFillTint="66"/>
      </w:tcPr>
    </w:tblStylePr>
    <w:tblStylePr w:type="firstCol">
      <w:rPr>
        <w:color w:val="FFFFFF" w:themeColor="background1"/>
      </w:rPr>
      <w:tblPr/>
      <w:tcPr>
        <w:shd w:val="clear" w:color="auto" w:fill="00513F" w:themeFill="accent4" w:themeFillShade="BF"/>
      </w:tcPr>
    </w:tblStylePr>
    <w:tblStylePr w:type="lastCol">
      <w:rPr>
        <w:color w:val="FFFFFF" w:themeColor="background1"/>
      </w:rPr>
      <w:tblPr/>
      <w:tcPr>
        <w:shd w:val="clear" w:color="auto" w:fill="00513F" w:themeFill="accent4" w:themeFillShade="BF"/>
      </w:tcPr>
    </w:tblStylePr>
    <w:tblStylePr w:type="band1Vert">
      <w:tblPr/>
      <w:tcPr>
        <w:shd w:val="clear" w:color="auto" w:fill="37FFD2" w:themeFill="accent4" w:themeFillTint="7F"/>
      </w:tcPr>
    </w:tblStylePr>
    <w:tblStylePr w:type="band1Horz">
      <w:tblPr/>
      <w:tcPr>
        <w:shd w:val="clear" w:color="auto" w:fill="37FFD2" w:themeFill="accent4" w:themeFillTint="7F"/>
      </w:tcPr>
    </w:tblStylePr>
  </w:style>
  <w:style w:type="table" w:styleId="ColorfulGrid-Accent5">
    <w:name w:val="Colorful Grid Accent 5"/>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E8FFBD" w:themeFill="accent5" w:themeFillTint="33"/>
    </w:tcPr>
    <w:tblStylePr w:type="firstRow">
      <w:rPr>
        <w:b/>
        <w:bCs/>
      </w:rPr>
      <w:tblPr/>
      <w:tcPr>
        <w:shd w:val="clear" w:color="auto" w:fill="D2FF7C" w:themeFill="accent5" w:themeFillTint="66"/>
      </w:tcPr>
    </w:tblStylePr>
    <w:tblStylePr w:type="lastRow">
      <w:rPr>
        <w:b/>
        <w:bCs/>
        <w:color w:val="000000" w:themeColor="text1"/>
      </w:rPr>
      <w:tblPr/>
      <w:tcPr>
        <w:shd w:val="clear" w:color="auto" w:fill="D2FF7C" w:themeFill="accent5" w:themeFillTint="66"/>
      </w:tcPr>
    </w:tblStylePr>
    <w:tblStylePr w:type="firstCol">
      <w:rPr>
        <w:color w:val="FFFFFF" w:themeColor="background1"/>
      </w:rPr>
      <w:tblPr/>
      <w:tcPr>
        <w:shd w:val="clear" w:color="auto" w:fill="5B8900" w:themeFill="accent5" w:themeFillShade="BF"/>
      </w:tcPr>
    </w:tblStylePr>
    <w:tblStylePr w:type="lastCol">
      <w:rPr>
        <w:color w:val="FFFFFF" w:themeColor="background1"/>
      </w:rPr>
      <w:tblPr/>
      <w:tcPr>
        <w:shd w:val="clear" w:color="auto" w:fill="5B8900" w:themeFill="accent5" w:themeFillShade="BF"/>
      </w:tcPr>
    </w:tblStylePr>
    <w:tblStylePr w:type="band1Vert">
      <w:tblPr/>
      <w:tcPr>
        <w:shd w:val="clear" w:color="auto" w:fill="C8FF5C" w:themeFill="accent5" w:themeFillTint="7F"/>
      </w:tcPr>
    </w:tblStylePr>
    <w:tblStylePr w:type="band1Horz">
      <w:tblPr/>
      <w:tcPr>
        <w:shd w:val="clear" w:color="auto" w:fill="C8FF5C" w:themeFill="accent5" w:themeFillTint="7F"/>
      </w:tcPr>
    </w:tblStylePr>
  </w:style>
  <w:style w:type="table" w:styleId="ColorfulGrid-Accent6">
    <w:name w:val="Colorful Grid Accent 6"/>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FFE4CC" w:themeFill="accent6" w:themeFillTint="33"/>
    </w:tcPr>
    <w:tblStylePr w:type="firstRow">
      <w:rPr>
        <w:b/>
        <w:bCs/>
      </w:rPr>
      <w:tblPr/>
      <w:tcPr>
        <w:shd w:val="clear" w:color="auto" w:fill="FFC999" w:themeFill="accent6" w:themeFillTint="66"/>
      </w:tcPr>
    </w:tblStylePr>
    <w:tblStylePr w:type="lastRow">
      <w:rPr>
        <w:b/>
        <w:bCs/>
        <w:color w:val="000000" w:themeColor="text1"/>
      </w:rPr>
      <w:tblPr/>
      <w:tcPr>
        <w:shd w:val="clear" w:color="auto" w:fill="FFC999" w:themeFill="accent6" w:themeFillTint="66"/>
      </w:tcPr>
    </w:tblStylePr>
    <w:tblStylePr w:type="firstCol">
      <w:rPr>
        <w:color w:val="FFFFFF" w:themeColor="background1"/>
      </w:rPr>
      <w:tblPr/>
      <w:tcPr>
        <w:shd w:val="clear" w:color="auto" w:fill="BF5A00" w:themeFill="accent6" w:themeFillShade="BF"/>
      </w:tcPr>
    </w:tblStylePr>
    <w:tblStylePr w:type="lastCol">
      <w:rPr>
        <w:color w:val="FFFFFF" w:themeColor="background1"/>
      </w:rPr>
      <w:tblPr/>
      <w:tcPr>
        <w:shd w:val="clear" w:color="auto" w:fill="BF5A00" w:themeFill="accent6" w:themeFillShade="BF"/>
      </w:tcPr>
    </w:tblStylePr>
    <w:tblStylePr w:type="band1Vert">
      <w:tblPr/>
      <w:tcPr>
        <w:shd w:val="clear" w:color="auto" w:fill="FFBC80" w:themeFill="accent6" w:themeFillTint="7F"/>
      </w:tcPr>
    </w:tblStylePr>
    <w:tblStylePr w:type="band1Horz">
      <w:tblPr/>
      <w:tcPr>
        <w:shd w:val="clear" w:color="auto" w:fill="FFBC80" w:themeFill="accent6" w:themeFillTint="7F"/>
      </w:tcPr>
    </w:tblStylePr>
  </w:style>
  <w:style w:type="table" w:styleId="ColorfulList">
    <w:name w:val="Colorful List"/>
    <w:basedOn w:val="TableNormal"/>
    <w:uiPriority w:val="72"/>
    <w:rsid w:val="00DD5DC6"/>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C0037" w:themeFill="accent2" w:themeFillShade="CC"/>
      </w:tcPr>
    </w:tblStylePr>
    <w:tblStylePr w:type="lastRow">
      <w:rPr>
        <w:b/>
        <w:bCs/>
        <w:color w:val="9C003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DD5DC6"/>
    <w:rPr>
      <w:color w:val="000000" w:themeColor="text1"/>
    </w:rPr>
    <w:tblPr>
      <w:tblStyleRowBandSize w:val="1"/>
      <w:tblStyleColBandSize w:val="1"/>
    </w:tblPr>
    <w:tcPr>
      <w:shd w:val="clear" w:color="auto" w:fill="ECE6F6" w:themeFill="accent1" w:themeFillTint="19"/>
    </w:tcPr>
    <w:tblStylePr w:type="firstRow">
      <w:rPr>
        <w:b/>
        <w:bCs/>
        <w:color w:val="FFFFFF" w:themeColor="background1"/>
      </w:rPr>
      <w:tblPr/>
      <w:tcPr>
        <w:tcBorders>
          <w:bottom w:val="single" w:sz="12" w:space="0" w:color="FFFFFF" w:themeColor="background1"/>
        </w:tcBorders>
        <w:shd w:val="clear" w:color="auto" w:fill="9C0037" w:themeFill="accent2" w:themeFillShade="CC"/>
      </w:tcPr>
    </w:tblStylePr>
    <w:tblStylePr w:type="lastRow">
      <w:rPr>
        <w:b/>
        <w:bCs/>
        <w:color w:val="9C003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1C1E9" w:themeFill="accent1" w:themeFillTint="3F"/>
      </w:tcPr>
    </w:tblStylePr>
    <w:tblStylePr w:type="band1Horz">
      <w:tblPr/>
      <w:tcPr>
        <w:shd w:val="clear" w:color="auto" w:fill="DACDED" w:themeFill="accent1" w:themeFillTint="33"/>
      </w:tcPr>
    </w:tblStylePr>
  </w:style>
  <w:style w:type="table" w:styleId="ColorfulList-Accent2">
    <w:name w:val="Colorful List Accent 2"/>
    <w:basedOn w:val="TableNormal"/>
    <w:uiPriority w:val="72"/>
    <w:rsid w:val="00DD5DC6"/>
    <w:rPr>
      <w:color w:val="000000" w:themeColor="text1"/>
    </w:rPr>
    <w:tblPr>
      <w:tblStyleRowBandSize w:val="1"/>
      <w:tblStyleColBandSize w:val="1"/>
    </w:tblPr>
    <w:tcPr>
      <w:shd w:val="clear" w:color="auto" w:fill="FFE0EA" w:themeFill="accent2" w:themeFillTint="19"/>
    </w:tcPr>
    <w:tblStylePr w:type="firstRow">
      <w:rPr>
        <w:b/>
        <w:bCs/>
        <w:color w:val="FFFFFF" w:themeColor="background1"/>
      </w:rPr>
      <w:tblPr/>
      <w:tcPr>
        <w:tcBorders>
          <w:bottom w:val="single" w:sz="12" w:space="0" w:color="FFFFFF" w:themeColor="background1"/>
        </w:tcBorders>
        <w:shd w:val="clear" w:color="auto" w:fill="9C0037" w:themeFill="accent2" w:themeFillShade="CC"/>
      </w:tcPr>
    </w:tblStylePr>
    <w:tblStylePr w:type="lastRow">
      <w:rPr>
        <w:b/>
        <w:bCs/>
        <w:color w:val="9C003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1CC" w:themeFill="accent2" w:themeFillTint="3F"/>
      </w:tcPr>
    </w:tblStylePr>
    <w:tblStylePr w:type="band1Horz">
      <w:tblPr/>
      <w:tcPr>
        <w:shd w:val="clear" w:color="auto" w:fill="FFC0D6" w:themeFill="accent2" w:themeFillTint="33"/>
      </w:tcPr>
    </w:tblStylePr>
  </w:style>
  <w:style w:type="table" w:styleId="ColorfulList-Accent3">
    <w:name w:val="Colorful List Accent 3"/>
    <w:basedOn w:val="TableNormal"/>
    <w:uiPriority w:val="72"/>
    <w:rsid w:val="00DD5DC6"/>
    <w:rPr>
      <w:color w:val="000000" w:themeColor="text1"/>
    </w:rPr>
    <w:tblPr>
      <w:tblStyleRowBandSize w:val="1"/>
      <w:tblStyleColBandSize w:val="1"/>
    </w:tblPr>
    <w:tcPr>
      <w:shd w:val="clear" w:color="auto" w:fill="FEDFFA" w:themeFill="accent3" w:themeFillTint="19"/>
    </w:tcPr>
    <w:tblStylePr w:type="firstRow">
      <w:rPr>
        <w:b/>
        <w:bCs/>
        <w:color w:val="FFFFFF" w:themeColor="background1"/>
      </w:rPr>
      <w:tblPr/>
      <w:tcPr>
        <w:tcBorders>
          <w:bottom w:val="single" w:sz="12" w:space="0" w:color="FFFFFF" w:themeColor="background1"/>
        </w:tcBorders>
        <w:shd w:val="clear" w:color="auto" w:fill="005743" w:themeFill="accent4" w:themeFillShade="CC"/>
      </w:tcPr>
    </w:tblStylePr>
    <w:tblStylePr w:type="lastRow">
      <w:rPr>
        <w:b/>
        <w:bCs/>
        <w:color w:val="005743"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CAFF3" w:themeFill="accent3" w:themeFillTint="3F"/>
      </w:tcPr>
    </w:tblStylePr>
    <w:tblStylePr w:type="band1Horz">
      <w:tblPr/>
      <w:tcPr>
        <w:shd w:val="clear" w:color="auto" w:fill="FDBFF6" w:themeFill="accent3" w:themeFillTint="33"/>
      </w:tcPr>
    </w:tblStylePr>
  </w:style>
  <w:style w:type="table" w:styleId="ColorfulList-Accent4">
    <w:name w:val="Colorful List Accent 4"/>
    <w:basedOn w:val="TableNormal"/>
    <w:uiPriority w:val="72"/>
    <w:rsid w:val="00DD5DC6"/>
    <w:rPr>
      <w:color w:val="000000" w:themeColor="text1"/>
    </w:rPr>
    <w:tblPr>
      <w:tblStyleRowBandSize w:val="1"/>
      <w:tblStyleColBandSize w:val="1"/>
    </w:tblPr>
    <w:tcPr>
      <w:shd w:val="clear" w:color="auto" w:fill="D7FFF6" w:themeFill="accent4" w:themeFillTint="19"/>
    </w:tcPr>
    <w:tblStylePr w:type="firstRow">
      <w:rPr>
        <w:b/>
        <w:bCs/>
        <w:color w:val="FFFFFF" w:themeColor="background1"/>
      </w:rPr>
      <w:tblPr/>
      <w:tcPr>
        <w:tcBorders>
          <w:bottom w:val="single" w:sz="12" w:space="0" w:color="FFFFFF" w:themeColor="background1"/>
        </w:tcBorders>
        <w:shd w:val="clear" w:color="auto" w:fill="8D047D" w:themeFill="accent3" w:themeFillShade="CC"/>
      </w:tcPr>
    </w:tblStylePr>
    <w:tblStylePr w:type="lastRow">
      <w:rPr>
        <w:b/>
        <w:bCs/>
        <w:color w:val="8D047D"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BFFE8" w:themeFill="accent4" w:themeFillTint="3F"/>
      </w:tcPr>
    </w:tblStylePr>
    <w:tblStylePr w:type="band1Horz">
      <w:tblPr/>
      <w:tcPr>
        <w:shd w:val="clear" w:color="auto" w:fill="AEFFED" w:themeFill="accent4" w:themeFillTint="33"/>
      </w:tcPr>
    </w:tblStylePr>
  </w:style>
  <w:style w:type="table" w:styleId="ColorfulList-Accent5">
    <w:name w:val="Colorful List Accent 5"/>
    <w:basedOn w:val="TableNormal"/>
    <w:uiPriority w:val="72"/>
    <w:rsid w:val="00DD5DC6"/>
    <w:rPr>
      <w:color w:val="000000" w:themeColor="text1"/>
    </w:rPr>
    <w:tblPr>
      <w:tblStyleRowBandSize w:val="1"/>
      <w:tblStyleColBandSize w:val="1"/>
    </w:tblPr>
    <w:tcPr>
      <w:shd w:val="clear" w:color="auto" w:fill="F4FFDF" w:themeFill="accent5" w:themeFillTint="19"/>
    </w:tcPr>
    <w:tblStylePr w:type="firstRow">
      <w:rPr>
        <w:b/>
        <w:bCs/>
        <w:color w:val="FFFFFF" w:themeColor="background1"/>
      </w:rPr>
      <w:tblPr/>
      <w:tcPr>
        <w:tcBorders>
          <w:bottom w:val="single" w:sz="12" w:space="0" w:color="FFFFFF" w:themeColor="background1"/>
        </w:tcBorders>
        <w:shd w:val="clear" w:color="auto" w:fill="CC6000" w:themeFill="accent6" w:themeFillShade="CC"/>
      </w:tcPr>
    </w:tblStylePr>
    <w:tblStylePr w:type="lastRow">
      <w:rPr>
        <w:b/>
        <w:bCs/>
        <w:color w:val="CC6000"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3FFAE" w:themeFill="accent5" w:themeFillTint="3F"/>
      </w:tcPr>
    </w:tblStylePr>
    <w:tblStylePr w:type="band1Horz">
      <w:tblPr/>
      <w:tcPr>
        <w:shd w:val="clear" w:color="auto" w:fill="E8FFBD" w:themeFill="accent5" w:themeFillTint="33"/>
      </w:tcPr>
    </w:tblStylePr>
  </w:style>
  <w:style w:type="table" w:styleId="ColorfulList-Accent6">
    <w:name w:val="Colorful List Accent 6"/>
    <w:basedOn w:val="TableNormal"/>
    <w:uiPriority w:val="72"/>
    <w:rsid w:val="00DD5DC6"/>
    <w:rPr>
      <w:color w:val="000000" w:themeColor="text1"/>
    </w:rPr>
    <w:tblPr>
      <w:tblStyleRowBandSize w:val="1"/>
      <w:tblStyleColBandSize w:val="1"/>
    </w:tblPr>
    <w:tcPr>
      <w:shd w:val="clear" w:color="auto" w:fill="FFF1E6" w:themeFill="accent6" w:themeFillTint="19"/>
    </w:tcPr>
    <w:tblStylePr w:type="firstRow">
      <w:rPr>
        <w:b/>
        <w:bCs/>
        <w:color w:val="FFFFFF" w:themeColor="background1"/>
      </w:rPr>
      <w:tblPr/>
      <w:tcPr>
        <w:tcBorders>
          <w:bottom w:val="single" w:sz="12" w:space="0" w:color="FFFFFF" w:themeColor="background1"/>
        </w:tcBorders>
        <w:shd w:val="clear" w:color="auto" w:fill="619300" w:themeFill="accent5" w:themeFillShade="CC"/>
      </w:tcPr>
    </w:tblStylePr>
    <w:tblStylePr w:type="lastRow">
      <w:rPr>
        <w:b/>
        <w:bCs/>
        <w:color w:val="61930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DDC0" w:themeFill="accent6" w:themeFillTint="3F"/>
      </w:tcPr>
    </w:tblStylePr>
    <w:tblStylePr w:type="band1Horz">
      <w:tblPr/>
      <w:tcPr>
        <w:shd w:val="clear" w:color="auto" w:fill="FFE4CC" w:themeFill="accent6" w:themeFillTint="33"/>
      </w:tcPr>
    </w:tblStylePr>
  </w:style>
  <w:style w:type="table" w:styleId="ColorfulShading">
    <w:name w:val="Colorful Shading"/>
    <w:basedOn w:val="TableNormal"/>
    <w:uiPriority w:val="71"/>
    <w:rsid w:val="00DD5DC6"/>
    <w:rPr>
      <w:color w:val="000000" w:themeColor="text1"/>
    </w:rPr>
    <w:tblPr>
      <w:tblStyleRowBandSize w:val="1"/>
      <w:tblStyleColBandSize w:val="1"/>
      <w:tblBorders>
        <w:top w:val="single" w:sz="24" w:space="0" w:color="C30045"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30045"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DD5DC6"/>
    <w:rPr>
      <w:color w:val="000000" w:themeColor="text1"/>
    </w:rPr>
    <w:tblPr>
      <w:tblStyleRowBandSize w:val="1"/>
      <w:tblStyleColBandSize w:val="1"/>
      <w:tblBorders>
        <w:top w:val="single" w:sz="24" w:space="0" w:color="C30045" w:themeColor="accent2"/>
        <w:left w:val="single" w:sz="4" w:space="0" w:color="4F2D7F" w:themeColor="accent1"/>
        <w:bottom w:val="single" w:sz="4" w:space="0" w:color="4F2D7F" w:themeColor="accent1"/>
        <w:right w:val="single" w:sz="4" w:space="0" w:color="4F2D7F" w:themeColor="accent1"/>
        <w:insideH w:val="single" w:sz="4" w:space="0" w:color="FFFFFF" w:themeColor="background1"/>
        <w:insideV w:val="single" w:sz="4" w:space="0" w:color="FFFFFF" w:themeColor="background1"/>
      </w:tblBorders>
    </w:tblPr>
    <w:tcPr>
      <w:shd w:val="clear" w:color="auto" w:fill="ECE6F6" w:themeFill="accent1" w:themeFillTint="19"/>
    </w:tcPr>
    <w:tblStylePr w:type="firstRow">
      <w:rPr>
        <w:b/>
        <w:bCs/>
      </w:rPr>
      <w:tblPr/>
      <w:tcPr>
        <w:tcBorders>
          <w:top w:val="nil"/>
          <w:left w:val="nil"/>
          <w:bottom w:val="single" w:sz="24" w:space="0" w:color="C30045"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F1B4C" w:themeFill="accent1" w:themeFillShade="99"/>
      </w:tcPr>
    </w:tblStylePr>
    <w:tblStylePr w:type="firstCol">
      <w:rPr>
        <w:color w:val="FFFFFF" w:themeColor="background1"/>
      </w:rPr>
      <w:tblPr/>
      <w:tcPr>
        <w:tcBorders>
          <w:top w:val="nil"/>
          <w:left w:val="nil"/>
          <w:bottom w:val="nil"/>
          <w:right w:val="nil"/>
          <w:insideH w:val="single" w:sz="4" w:space="0" w:color="2F1B4C" w:themeColor="accent1" w:themeShade="99"/>
          <w:insideV w:val="nil"/>
        </w:tcBorders>
        <w:shd w:val="clear" w:color="auto" w:fill="2F1B4C"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F1B4C" w:themeFill="accent1" w:themeFillShade="99"/>
      </w:tcPr>
    </w:tblStylePr>
    <w:tblStylePr w:type="band1Vert">
      <w:tblPr/>
      <w:tcPr>
        <w:shd w:val="clear" w:color="auto" w:fill="B59BDB" w:themeFill="accent1" w:themeFillTint="66"/>
      </w:tcPr>
    </w:tblStylePr>
    <w:tblStylePr w:type="band1Horz">
      <w:tblPr/>
      <w:tcPr>
        <w:shd w:val="clear" w:color="auto" w:fill="A382D3"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DD5DC6"/>
    <w:rPr>
      <w:color w:val="000000" w:themeColor="text1"/>
    </w:rPr>
    <w:tblPr>
      <w:tblStyleRowBandSize w:val="1"/>
      <w:tblStyleColBandSize w:val="1"/>
      <w:tblBorders>
        <w:top w:val="single" w:sz="24" w:space="0" w:color="C30045" w:themeColor="accent2"/>
        <w:left w:val="single" w:sz="4" w:space="0" w:color="C30045" w:themeColor="accent2"/>
        <w:bottom w:val="single" w:sz="4" w:space="0" w:color="C30045" w:themeColor="accent2"/>
        <w:right w:val="single" w:sz="4" w:space="0" w:color="C30045" w:themeColor="accent2"/>
        <w:insideH w:val="single" w:sz="4" w:space="0" w:color="FFFFFF" w:themeColor="background1"/>
        <w:insideV w:val="single" w:sz="4" w:space="0" w:color="FFFFFF" w:themeColor="background1"/>
      </w:tblBorders>
    </w:tblPr>
    <w:tcPr>
      <w:shd w:val="clear" w:color="auto" w:fill="FFE0EA" w:themeFill="accent2" w:themeFillTint="19"/>
    </w:tcPr>
    <w:tblStylePr w:type="firstRow">
      <w:rPr>
        <w:b/>
        <w:bCs/>
      </w:rPr>
      <w:tblPr/>
      <w:tcPr>
        <w:tcBorders>
          <w:top w:val="nil"/>
          <w:left w:val="nil"/>
          <w:bottom w:val="single" w:sz="24" w:space="0" w:color="C30045"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50029" w:themeFill="accent2" w:themeFillShade="99"/>
      </w:tcPr>
    </w:tblStylePr>
    <w:tblStylePr w:type="firstCol">
      <w:rPr>
        <w:color w:val="FFFFFF" w:themeColor="background1"/>
      </w:rPr>
      <w:tblPr/>
      <w:tcPr>
        <w:tcBorders>
          <w:top w:val="nil"/>
          <w:left w:val="nil"/>
          <w:bottom w:val="nil"/>
          <w:right w:val="nil"/>
          <w:insideH w:val="single" w:sz="4" w:space="0" w:color="750029" w:themeColor="accent2" w:themeShade="99"/>
          <w:insideV w:val="nil"/>
        </w:tcBorders>
        <w:shd w:val="clear" w:color="auto" w:fill="75002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50029" w:themeFill="accent2" w:themeFillShade="99"/>
      </w:tcPr>
    </w:tblStylePr>
    <w:tblStylePr w:type="band1Vert">
      <w:tblPr/>
      <w:tcPr>
        <w:shd w:val="clear" w:color="auto" w:fill="FF81AD" w:themeFill="accent2" w:themeFillTint="66"/>
      </w:tcPr>
    </w:tblStylePr>
    <w:tblStylePr w:type="band1Horz">
      <w:tblPr/>
      <w:tcPr>
        <w:shd w:val="clear" w:color="auto" w:fill="FF6299"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DD5DC6"/>
    <w:rPr>
      <w:color w:val="000000" w:themeColor="text1"/>
    </w:rPr>
    <w:tblPr>
      <w:tblStyleRowBandSize w:val="1"/>
      <w:tblStyleColBandSize w:val="1"/>
      <w:tblBorders>
        <w:top w:val="single" w:sz="24" w:space="0" w:color="006D55" w:themeColor="accent4"/>
        <w:left w:val="single" w:sz="4" w:space="0" w:color="B1059D" w:themeColor="accent3"/>
        <w:bottom w:val="single" w:sz="4" w:space="0" w:color="B1059D" w:themeColor="accent3"/>
        <w:right w:val="single" w:sz="4" w:space="0" w:color="B1059D" w:themeColor="accent3"/>
        <w:insideH w:val="single" w:sz="4" w:space="0" w:color="FFFFFF" w:themeColor="background1"/>
        <w:insideV w:val="single" w:sz="4" w:space="0" w:color="FFFFFF" w:themeColor="background1"/>
      </w:tblBorders>
    </w:tblPr>
    <w:tcPr>
      <w:shd w:val="clear" w:color="auto" w:fill="FEDFFA" w:themeFill="accent3" w:themeFillTint="19"/>
    </w:tcPr>
    <w:tblStylePr w:type="firstRow">
      <w:rPr>
        <w:b/>
        <w:bCs/>
      </w:rPr>
      <w:tblPr/>
      <w:tcPr>
        <w:tcBorders>
          <w:top w:val="nil"/>
          <w:left w:val="nil"/>
          <w:bottom w:val="single" w:sz="24" w:space="0" w:color="006D5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9035D" w:themeFill="accent3" w:themeFillShade="99"/>
      </w:tcPr>
    </w:tblStylePr>
    <w:tblStylePr w:type="firstCol">
      <w:rPr>
        <w:color w:val="FFFFFF" w:themeColor="background1"/>
      </w:rPr>
      <w:tblPr/>
      <w:tcPr>
        <w:tcBorders>
          <w:top w:val="nil"/>
          <w:left w:val="nil"/>
          <w:bottom w:val="nil"/>
          <w:right w:val="nil"/>
          <w:insideH w:val="single" w:sz="4" w:space="0" w:color="69035D" w:themeColor="accent3" w:themeShade="99"/>
          <w:insideV w:val="nil"/>
        </w:tcBorders>
        <w:shd w:val="clear" w:color="auto" w:fill="69035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9035D" w:themeFill="accent3" w:themeFillShade="99"/>
      </w:tcPr>
    </w:tblStylePr>
    <w:tblStylePr w:type="band1Vert">
      <w:tblPr/>
      <w:tcPr>
        <w:shd w:val="clear" w:color="auto" w:fill="FB7FEC" w:themeFill="accent3" w:themeFillTint="66"/>
      </w:tcPr>
    </w:tblStylePr>
    <w:tblStylePr w:type="band1Horz">
      <w:tblPr/>
      <w:tcPr>
        <w:shd w:val="clear" w:color="auto" w:fill="FA5FE8" w:themeFill="accent3" w:themeFillTint="7F"/>
      </w:tcPr>
    </w:tblStylePr>
  </w:style>
  <w:style w:type="table" w:styleId="ColorfulShading-Accent4">
    <w:name w:val="Colorful Shading Accent 4"/>
    <w:basedOn w:val="TableNormal"/>
    <w:uiPriority w:val="71"/>
    <w:rsid w:val="00DD5DC6"/>
    <w:rPr>
      <w:color w:val="000000" w:themeColor="text1"/>
    </w:rPr>
    <w:tblPr>
      <w:tblStyleRowBandSize w:val="1"/>
      <w:tblStyleColBandSize w:val="1"/>
      <w:tblBorders>
        <w:top w:val="single" w:sz="24" w:space="0" w:color="B1059D" w:themeColor="accent3"/>
        <w:left w:val="single" w:sz="4" w:space="0" w:color="006D55" w:themeColor="accent4"/>
        <w:bottom w:val="single" w:sz="4" w:space="0" w:color="006D55" w:themeColor="accent4"/>
        <w:right w:val="single" w:sz="4" w:space="0" w:color="006D55" w:themeColor="accent4"/>
        <w:insideH w:val="single" w:sz="4" w:space="0" w:color="FFFFFF" w:themeColor="background1"/>
        <w:insideV w:val="single" w:sz="4" w:space="0" w:color="FFFFFF" w:themeColor="background1"/>
      </w:tblBorders>
    </w:tblPr>
    <w:tcPr>
      <w:shd w:val="clear" w:color="auto" w:fill="D7FFF6" w:themeFill="accent4" w:themeFillTint="19"/>
    </w:tcPr>
    <w:tblStylePr w:type="firstRow">
      <w:rPr>
        <w:b/>
        <w:bCs/>
      </w:rPr>
      <w:tblPr/>
      <w:tcPr>
        <w:tcBorders>
          <w:top w:val="nil"/>
          <w:left w:val="nil"/>
          <w:bottom w:val="single" w:sz="24" w:space="0" w:color="B1059D"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132" w:themeFill="accent4" w:themeFillShade="99"/>
      </w:tcPr>
    </w:tblStylePr>
    <w:tblStylePr w:type="firstCol">
      <w:rPr>
        <w:color w:val="FFFFFF" w:themeColor="background1"/>
      </w:rPr>
      <w:tblPr/>
      <w:tcPr>
        <w:tcBorders>
          <w:top w:val="nil"/>
          <w:left w:val="nil"/>
          <w:bottom w:val="nil"/>
          <w:right w:val="nil"/>
          <w:insideH w:val="single" w:sz="4" w:space="0" w:color="004132" w:themeColor="accent4" w:themeShade="99"/>
          <w:insideV w:val="nil"/>
        </w:tcBorders>
        <w:shd w:val="clear" w:color="auto" w:fill="00413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04132" w:themeFill="accent4" w:themeFillShade="99"/>
      </w:tcPr>
    </w:tblStylePr>
    <w:tblStylePr w:type="band1Vert">
      <w:tblPr/>
      <w:tcPr>
        <w:shd w:val="clear" w:color="auto" w:fill="5EFFDB" w:themeFill="accent4" w:themeFillTint="66"/>
      </w:tcPr>
    </w:tblStylePr>
    <w:tblStylePr w:type="band1Horz">
      <w:tblPr/>
      <w:tcPr>
        <w:shd w:val="clear" w:color="auto" w:fill="37FFD2"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DD5DC6"/>
    <w:rPr>
      <w:color w:val="000000" w:themeColor="text1"/>
    </w:rPr>
    <w:tblPr>
      <w:tblStyleRowBandSize w:val="1"/>
      <w:tblStyleColBandSize w:val="1"/>
      <w:tblBorders>
        <w:top w:val="single" w:sz="24" w:space="0" w:color="FF7900" w:themeColor="accent6"/>
        <w:left w:val="single" w:sz="4" w:space="0" w:color="7AB800" w:themeColor="accent5"/>
        <w:bottom w:val="single" w:sz="4" w:space="0" w:color="7AB800" w:themeColor="accent5"/>
        <w:right w:val="single" w:sz="4" w:space="0" w:color="7AB800" w:themeColor="accent5"/>
        <w:insideH w:val="single" w:sz="4" w:space="0" w:color="FFFFFF" w:themeColor="background1"/>
        <w:insideV w:val="single" w:sz="4" w:space="0" w:color="FFFFFF" w:themeColor="background1"/>
      </w:tblBorders>
    </w:tblPr>
    <w:tcPr>
      <w:shd w:val="clear" w:color="auto" w:fill="F4FFDF" w:themeFill="accent5" w:themeFillTint="19"/>
    </w:tcPr>
    <w:tblStylePr w:type="firstRow">
      <w:rPr>
        <w:b/>
        <w:bCs/>
      </w:rPr>
      <w:tblPr/>
      <w:tcPr>
        <w:tcBorders>
          <w:top w:val="nil"/>
          <w:left w:val="nil"/>
          <w:bottom w:val="single" w:sz="24" w:space="0" w:color="FF790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96E00" w:themeFill="accent5" w:themeFillShade="99"/>
      </w:tcPr>
    </w:tblStylePr>
    <w:tblStylePr w:type="firstCol">
      <w:rPr>
        <w:color w:val="FFFFFF" w:themeColor="background1"/>
      </w:rPr>
      <w:tblPr/>
      <w:tcPr>
        <w:tcBorders>
          <w:top w:val="nil"/>
          <w:left w:val="nil"/>
          <w:bottom w:val="nil"/>
          <w:right w:val="nil"/>
          <w:insideH w:val="single" w:sz="4" w:space="0" w:color="496E00" w:themeColor="accent5" w:themeShade="99"/>
          <w:insideV w:val="nil"/>
        </w:tcBorders>
        <w:shd w:val="clear" w:color="auto" w:fill="496E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496E00" w:themeFill="accent5" w:themeFillShade="99"/>
      </w:tcPr>
    </w:tblStylePr>
    <w:tblStylePr w:type="band1Vert">
      <w:tblPr/>
      <w:tcPr>
        <w:shd w:val="clear" w:color="auto" w:fill="D2FF7C" w:themeFill="accent5" w:themeFillTint="66"/>
      </w:tcPr>
    </w:tblStylePr>
    <w:tblStylePr w:type="band1Horz">
      <w:tblPr/>
      <w:tcPr>
        <w:shd w:val="clear" w:color="auto" w:fill="C8FF5C"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DD5DC6"/>
    <w:rPr>
      <w:color w:val="000000" w:themeColor="text1"/>
    </w:rPr>
    <w:tblPr>
      <w:tblStyleRowBandSize w:val="1"/>
      <w:tblStyleColBandSize w:val="1"/>
      <w:tblBorders>
        <w:top w:val="single" w:sz="24" w:space="0" w:color="7AB800" w:themeColor="accent5"/>
        <w:left w:val="single" w:sz="4" w:space="0" w:color="FF7900" w:themeColor="accent6"/>
        <w:bottom w:val="single" w:sz="4" w:space="0" w:color="FF7900" w:themeColor="accent6"/>
        <w:right w:val="single" w:sz="4" w:space="0" w:color="FF7900" w:themeColor="accent6"/>
        <w:insideH w:val="single" w:sz="4" w:space="0" w:color="FFFFFF" w:themeColor="background1"/>
        <w:insideV w:val="single" w:sz="4" w:space="0" w:color="FFFFFF" w:themeColor="background1"/>
      </w:tblBorders>
    </w:tblPr>
    <w:tcPr>
      <w:shd w:val="clear" w:color="auto" w:fill="FFF1E6" w:themeFill="accent6" w:themeFillTint="19"/>
    </w:tcPr>
    <w:tblStylePr w:type="firstRow">
      <w:rPr>
        <w:b/>
        <w:bCs/>
      </w:rPr>
      <w:tblPr/>
      <w:tcPr>
        <w:tcBorders>
          <w:top w:val="nil"/>
          <w:left w:val="nil"/>
          <w:bottom w:val="single" w:sz="24" w:space="0" w:color="7AB80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4800" w:themeFill="accent6" w:themeFillShade="99"/>
      </w:tcPr>
    </w:tblStylePr>
    <w:tblStylePr w:type="firstCol">
      <w:rPr>
        <w:color w:val="FFFFFF" w:themeColor="background1"/>
      </w:rPr>
      <w:tblPr/>
      <w:tcPr>
        <w:tcBorders>
          <w:top w:val="nil"/>
          <w:left w:val="nil"/>
          <w:bottom w:val="nil"/>
          <w:right w:val="nil"/>
          <w:insideH w:val="single" w:sz="4" w:space="0" w:color="994800" w:themeColor="accent6" w:themeShade="99"/>
          <w:insideV w:val="nil"/>
        </w:tcBorders>
        <w:shd w:val="clear" w:color="auto" w:fill="9948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94800" w:themeFill="accent6" w:themeFillShade="99"/>
      </w:tcPr>
    </w:tblStylePr>
    <w:tblStylePr w:type="band1Vert">
      <w:tblPr/>
      <w:tcPr>
        <w:shd w:val="clear" w:color="auto" w:fill="FFC999" w:themeFill="accent6" w:themeFillTint="66"/>
      </w:tcPr>
    </w:tblStylePr>
    <w:tblStylePr w:type="band1Horz">
      <w:tblPr/>
      <w:tcPr>
        <w:shd w:val="clear" w:color="auto" w:fill="FFBC80"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rsid w:val="00DD5DC6"/>
    <w:rPr>
      <w:sz w:val="16"/>
      <w:szCs w:val="16"/>
      <w:lang w:val="en-US"/>
    </w:rPr>
  </w:style>
  <w:style w:type="paragraph" w:styleId="CommentText">
    <w:name w:val="annotation text"/>
    <w:basedOn w:val="Normal"/>
    <w:link w:val="CommentTextChar"/>
    <w:rsid w:val="00DD5DC6"/>
    <w:rPr>
      <w:sz w:val="20"/>
    </w:rPr>
  </w:style>
  <w:style w:type="character" w:customStyle="1" w:styleId="CommentTextChar">
    <w:name w:val="Comment Text Char"/>
    <w:basedOn w:val="DefaultParagraphFont"/>
    <w:link w:val="CommentText"/>
    <w:rsid w:val="00DD5DC6"/>
    <w:rPr>
      <w:rFonts w:ascii="Garamond" w:hAnsi="Garamond" w:cs="Arial"/>
      <w:lang w:val="en-US"/>
    </w:rPr>
  </w:style>
  <w:style w:type="paragraph" w:styleId="CommentSubject">
    <w:name w:val="annotation subject"/>
    <w:basedOn w:val="CommentText"/>
    <w:next w:val="CommentText"/>
    <w:link w:val="CommentSubjectChar"/>
    <w:rsid w:val="00DD5DC6"/>
    <w:rPr>
      <w:b/>
      <w:bCs/>
    </w:rPr>
  </w:style>
  <w:style w:type="character" w:customStyle="1" w:styleId="CommentSubjectChar">
    <w:name w:val="Comment Subject Char"/>
    <w:basedOn w:val="CommentTextChar"/>
    <w:link w:val="CommentSubject"/>
    <w:rsid w:val="00DD5DC6"/>
    <w:rPr>
      <w:rFonts w:ascii="Garamond" w:hAnsi="Garamond" w:cs="Arial"/>
      <w:b/>
      <w:bCs/>
      <w:lang w:val="en-US"/>
    </w:rPr>
  </w:style>
  <w:style w:type="table" w:styleId="DarkList">
    <w:name w:val="Dark List"/>
    <w:basedOn w:val="TableNormal"/>
    <w:uiPriority w:val="70"/>
    <w:rsid w:val="00DD5DC6"/>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DD5DC6"/>
    <w:rPr>
      <w:color w:val="FFFFFF" w:themeColor="background1"/>
    </w:rPr>
    <w:tblPr>
      <w:tblStyleRowBandSize w:val="1"/>
      <w:tblStyleColBandSize w:val="1"/>
    </w:tblPr>
    <w:tcPr>
      <w:shd w:val="clear" w:color="auto" w:fill="4F2D7F"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7163E"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A215E"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A215E" w:themeFill="accent1" w:themeFillShade="BF"/>
      </w:tcPr>
    </w:tblStylePr>
    <w:tblStylePr w:type="band1Vert">
      <w:tblPr/>
      <w:tcPr>
        <w:tcBorders>
          <w:top w:val="nil"/>
          <w:left w:val="nil"/>
          <w:bottom w:val="nil"/>
          <w:right w:val="nil"/>
          <w:insideH w:val="nil"/>
          <w:insideV w:val="nil"/>
        </w:tcBorders>
        <w:shd w:val="clear" w:color="auto" w:fill="3A215E" w:themeFill="accent1" w:themeFillShade="BF"/>
      </w:tcPr>
    </w:tblStylePr>
    <w:tblStylePr w:type="band1Horz">
      <w:tblPr/>
      <w:tcPr>
        <w:tcBorders>
          <w:top w:val="nil"/>
          <w:left w:val="nil"/>
          <w:bottom w:val="nil"/>
          <w:right w:val="nil"/>
          <w:insideH w:val="nil"/>
          <w:insideV w:val="nil"/>
        </w:tcBorders>
        <w:shd w:val="clear" w:color="auto" w:fill="3A215E" w:themeFill="accent1" w:themeFillShade="BF"/>
      </w:tcPr>
    </w:tblStylePr>
  </w:style>
  <w:style w:type="table" w:styleId="DarkList-Accent2">
    <w:name w:val="Dark List Accent 2"/>
    <w:basedOn w:val="TableNormal"/>
    <w:uiPriority w:val="70"/>
    <w:rsid w:val="00DD5DC6"/>
    <w:rPr>
      <w:color w:val="FFFFFF" w:themeColor="background1"/>
    </w:rPr>
    <w:tblPr>
      <w:tblStyleRowBandSize w:val="1"/>
      <w:tblStyleColBandSize w:val="1"/>
    </w:tblPr>
    <w:tcPr>
      <w:shd w:val="clear" w:color="auto" w:fill="C30045"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10022"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20033"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20033" w:themeFill="accent2" w:themeFillShade="BF"/>
      </w:tcPr>
    </w:tblStylePr>
    <w:tblStylePr w:type="band1Vert">
      <w:tblPr/>
      <w:tcPr>
        <w:tcBorders>
          <w:top w:val="nil"/>
          <w:left w:val="nil"/>
          <w:bottom w:val="nil"/>
          <w:right w:val="nil"/>
          <w:insideH w:val="nil"/>
          <w:insideV w:val="nil"/>
        </w:tcBorders>
        <w:shd w:val="clear" w:color="auto" w:fill="920033" w:themeFill="accent2" w:themeFillShade="BF"/>
      </w:tcPr>
    </w:tblStylePr>
    <w:tblStylePr w:type="band1Horz">
      <w:tblPr/>
      <w:tcPr>
        <w:tcBorders>
          <w:top w:val="nil"/>
          <w:left w:val="nil"/>
          <w:bottom w:val="nil"/>
          <w:right w:val="nil"/>
          <w:insideH w:val="nil"/>
          <w:insideV w:val="nil"/>
        </w:tcBorders>
        <w:shd w:val="clear" w:color="auto" w:fill="920033" w:themeFill="accent2" w:themeFillShade="BF"/>
      </w:tcPr>
    </w:tblStylePr>
  </w:style>
  <w:style w:type="table" w:styleId="DarkList-Accent3">
    <w:name w:val="Dark List Accent 3"/>
    <w:basedOn w:val="TableNormal"/>
    <w:uiPriority w:val="70"/>
    <w:rsid w:val="00DD5DC6"/>
    <w:rPr>
      <w:color w:val="FFFFFF" w:themeColor="background1"/>
    </w:rPr>
    <w:tblPr>
      <w:tblStyleRowBandSize w:val="1"/>
      <w:tblStyleColBandSize w:val="1"/>
    </w:tblPr>
    <w:tcPr>
      <w:shd w:val="clear" w:color="auto" w:fill="B1059D"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7024D"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840375"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840375" w:themeFill="accent3" w:themeFillShade="BF"/>
      </w:tcPr>
    </w:tblStylePr>
    <w:tblStylePr w:type="band1Vert">
      <w:tblPr/>
      <w:tcPr>
        <w:tcBorders>
          <w:top w:val="nil"/>
          <w:left w:val="nil"/>
          <w:bottom w:val="nil"/>
          <w:right w:val="nil"/>
          <w:insideH w:val="nil"/>
          <w:insideV w:val="nil"/>
        </w:tcBorders>
        <w:shd w:val="clear" w:color="auto" w:fill="840375" w:themeFill="accent3" w:themeFillShade="BF"/>
      </w:tcPr>
    </w:tblStylePr>
    <w:tblStylePr w:type="band1Horz">
      <w:tblPr/>
      <w:tcPr>
        <w:tcBorders>
          <w:top w:val="nil"/>
          <w:left w:val="nil"/>
          <w:bottom w:val="nil"/>
          <w:right w:val="nil"/>
          <w:insideH w:val="nil"/>
          <w:insideV w:val="nil"/>
        </w:tcBorders>
        <w:shd w:val="clear" w:color="auto" w:fill="840375" w:themeFill="accent3" w:themeFillShade="BF"/>
      </w:tcPr>
    </w:tblStylePr>
  </w:style>
  <w:style w:type="table" w:styleId="DarkList-Accent4">
    <w:name w:val="Dark List Accent 4"/>
    <w:basedOn w:val="TableNormal"/>
    <w:uiPriority w:val="70"/>
    <w:rsid w:val="00DD5DC6"/>
    <w:rPr>
      <w:color w:val="FFFFFF" w:themeColor="background1"/>
    </w:rPr>
    <w:tblPr>
      <w:tblStyleRowBandSize w:val="1"/>
      <w:tblStyleColBandSize w:val="1"/>
    </w:tblPr>
    <w:tcPr>
      <w:shd w:val="clear" w:color="auto" w:fill="006D5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62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0513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0513F" w:themeFill="accent4" w:themeFillShade="BF"/>
      </w:tcPr>
    </w:tblStylePr>
    <w:tblStylePr w:type="band1Vert">
      <w:tblPr/>
      <w:tcPr>
        <w:tcBorders>
          <w:top w:val="nil"/>
          <w:left w:val="nil"/>
          <w:bottom w:val="nil"/>
          <w:right w:val="nil"/>
          <w:insideH w:val="nil"/>
          <w:insideV w:val="nil"/>
        </w:tcBorders>
        <w:shd w:val="clear" w:color="auto" w:fill="00513F" w:themeFill="accent4" w:themeFillShade="BF"/>
      </w:tcPr>
    </w:tblStylePr>
    <w:tblStylePr w:type="band1Horz">
      <w:tblPr/>
      <w:tcPr>
        <w:tcBorders>
          <w:top w:val="nil"/>
          <w:left w:val="nil"/>
          <w:bottom w:val="nil"/>
          <w:right w:val="nil"/>
          <w:insideH w:val="nil"/>
          <w:insideV w:val="nil"/>
        </w:tcBorders>
        <w:shd w:val="clear" w:color="auto" w:fill="00513F" w:themeFill="accent4" w:themeFillShade="BF"/>
      </w:tcPr>
    </w:tblStylePr>
  </w:style>
  <w:style w:type="table" w:styleId="DarkList-Accent5">
    <w:name w:val="Dark List Accent 5"/>
    <w:basedOn w:val="TableNormal"/>
    <w:uiPriority w:val="70"/>
    <w:rsid w:val="00DD5DC6"/>
    <w:rPr>
      <w:color w:val="FFFFFF" w:themeColor="background1"/>
    </w:rPr>
    <w:tblPr>
      <w:tblStyleRowBandSize w:val="1"/>
      <w:tblStyleColBandSize w:val="1"/>
    </w:tblPr>
    <w:tcPr>
      <w:shd w:val="clear" w:color="auto" w:fill="7AB80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C5B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5B890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5B8900" w:themeFill="accent5" w:themeFillShade="BF"/>
      </w:tcPr>
    </w:tblStylePr>
    <w:tblStylePr w:type="band1Vert">
      <w:tblPr/>
      <w:tcPr>
        <w:tcBorders>
          <w:top w:val="nil"/>
          <w:left w:val="nil"/>
          <w:bottom w:val="nil"/>
          <w:right w:val="nil"/>
          <w:insideH w:val="nil"/>
          <w:insideV w:val="nil"/>
        </w:tcBorders>
        <w:shd w:val="clear" w:color="auto" w:fill="5B8900" w:themeFill="accent5" w:themeFillShade="BF"/>
      </w:tcPr>
    </w:tblStylePr>
    <w:tblStylePr w:type="band1Horz">
      <w:tblPr/>
      <w:tcPr>
        <w:tcBorders>
          <w:top w:val="nil"/>
          <w:left w:val="nil"/>
          <w:bottom w:val="nil"/>
          <w:right w:val="nil"/>
          <w:insideH w:val="nil"/>
          <w:insideV w:val="nil"/>
        </w:tcBorders>
        <w:shd w:val="clear" w:color="auto" w:fill="5B8900" w:themeFill="accent5" w:themeFillShade="BF"/>
      </w:tcPr>
    </w:tblStylePr>
  </w:style>
  <w:style w:type="table" w:styleId="DarkList-Accent6">
    <w:name w:val="Dark List Accent 6"/>
    <w:basedOn w:val="TableNormal"/>
    <w:uiPriority w:val="70"/>
    <w:rsid w:val="00DD5DC6"/>
    <w:rPr>
      <w:color w:val="FFFFFF" w:themeColor="background1"/>
    </w:rPr>
    <w:tblPr>
      <w:tblStyleRowBandSize w:val="1"/>
      <w:tblStyleColBandSize w:val="1"/>
    </w:tblPr>
    <w:tcPr>
      <w:shd w:val="clear" w:color="auto" w:fill="FF790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C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BF5A00"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BF5A00" w:themeFill="accent6" w:themeFillShade="BF"/>
      </w:tcPr>
    </w:tblStylePr>
    <w:tblStylePr w:type="band1Vert">
      <w:tblPr/>
      <w:tcPr>
        <w:tcBorders>
          <w:top w:val="nil"/>
          <w:left w:val="nil"/>
          <w:bottom w:val="nil"/>
          <w:right w:val="nil"/>
          <w:insideH w:val="nil"/>
          <w:insideV w:val="nil"/>
        </w:tcBorders>
        <w:shd w:val="clear" w:color="auto" w:fill="BF5A00" w:themeFill="accent6" w:themeFillShade="BF"/>
      </w:tcPr>
    </w:tblStylePr>
    <w:tblStylePr w:type="band1Horz">
      <w:tblPr/>
      <w:tcPr>
        <w:tcBorders>
          <w:top w:val="nil"/>
          <w:left w:val="nil"/>
          <w:bottom w:val="nil"/>
          <w:right w:val="nil"/>
          <w:insideH w:val="nil"/>
          <w:insideV w:val="nil"/>
        </w:tcBorders>
        <w:shd w:val="clear" w:color="auto" w:fill="BF5A00" w:themeFill="accent6" w:themeFillShade="BF"/>
      </w:tcPr>
    </w:tblStylePr>
  </w:style>
  <w:style w:type="paragraph" w:styleId="Date">
    <w:name w:val="Date"/>
    <w:basedOn w:val="Normal"/>
    <w:next w:val="Normal"/>
    <w:link w:val="DateChar"/>
    <w:rsid w:val="00DD5DC6"/>
  </w:style>
  <w:style w:type="character" w:customStyle="1" w:styleId="DateChar">
    <w:name w:val="Date Char"/>
    <w:basedOn w:val="DefaultParagraphFont"/>
    <w:link w:val="Date"/>
    <w:rsid w:val="00DD5DC6"/>
    <w:rPr>
      <w:rFonts w:ascii="Garamond" w:hAnsi="Garamond" w:cs="Arial"/>
      <w:sz w:val="22"/>
      <w:lang w:val="en-US"/>
    </w:rPr>
  </w:style>
  <w:style w:type="paragraph" w:styleId="DocumentMap">
    <w:name w:val="Document Map"/>
    <w:basedOn w:val="Normal"/>
    <w:link w:val="DocumentMapChar"/>
    <w:rsid w:val="00DD5DC6"/>
    <w:rPr>
      <w:rFonts w:ascii="Tahoma" w:hAnsi="Tahoma" w:cs="Tahoma"/>
      <w:sz w:val="16"/>
      <w:szCs w:val="16"/>
    </w:rPr>
  </w:style>
  <w:style w:type="character" w:customStyle="1" w:styleId="DocumentMapChar">
    <w:name w:val="Document Map Char"/>
    <w:basedOn w:val="DefaultParagraphFont"/>
    <w:link w:val="DocumentMap"/>
    <w:rsid w:val="00DD5DC6"/>
    <w:rPr>
      <w:rFonts w:ascii="Tahoma" w:hAnsi="Tahoma" w:cs="Tahoma"/>
      <w:sz w:val="16"/>
      <w:szCs w:val="16"/>
      <w:lang w:val="en-US"/>
    </w:rPr>
  </w:style>
  <w:style w:type="paragraph" w:styleId="E-mailSignature">
    <w:name w:val="E-mail Signature"/>
    <w:basedOn w:val="Normal"/>
    <w:link w:val="E-mailSignatureChar"/>
    <w:rsid w:val="00DD5DC6"/>
  </w:style>
  <w:style w:type="character" w:customStyle="1" w:styleId="E-mailSignatureChar">
    <w:name w:val="E-mail Signature Char"/>
    <w:basedOn w:val="DefaultParagraphFont"/>
    <w:link w:val="E-mailSignature"/>
    <w:rsid w:val="00DD5DC6"/>
    <w:rPr>
      <w:rFonts w:ascii="Garamond" w:hAnsi="Garamond" w:cs="Arial"/>
      <w:sz w:val="22"/>
      <w:lang w:val="en-US"/>
    </w:rPr>
  </w:style>
  <w:style w:type="character" w:styleId="Emphasis">
    <w:name w:val="Emphasis"/>
    <w:basedOn w:val="DefaultParagraphFont"/>
    <w:uiPriority w:val="20"/>
    <w:qFormat/>
    <w:rsid w:val="00DD5DC6"/>
    <w:rPr>
      <w:i/>
      <w:iCs/>
      <w:lang w:val="en-US"/>
    </w:rPr>
  </w:style>
  <w:style w:type="character" w:styleId="EndnoteReference">
    <w:name w:val="endnote reference"/>
    <w:basedOn w:val="DefaultParagraphFont"/>
    <w:rsid w:val="00DD5DC6"/>
    <w:rPr>
      <w:vertAlign w:val="superscript"/>
      <w:lang w:val="en-US"/>
    </w:rPr>
  </w:style>
  <w:style w:type="paragraph" w:styleId="EndnoteText">
    <w:name w:val="endnote text"/>
    <w:basedOn w:val="Normal"/>
    <w:link w:val="EndnoteTextChar"/>
    <w:rsid w:val="00DD5DC6"/>
    <w:rPr>
      <w:sz w:val="20"/>
    </w:rPr>
  </w:style>
  <w:style w:type="character" w:customStyle="1" w:styleId="EndnoteTextChar">
    <w:name w:val="Endnote Text Char"/>
    <w:basedOn w:val="DefaultParagraphFont"/>
    <w:link w:val="EndnoteText"/>
    <w:rsid w:val="00DD5DC6"/>
    <w:rPr>
      <w:rFonts w:ascii="Garamond" w:hAnsi="Garamond" w:cs="Arial"/>
      <w:lang w:val="en-US"/>
    </w:rPr>
  </w:style>
  <w:style w:type="paragraph" w:styleId="EnvelopeAddress">
    <w:name w:val="envelope address"/>
    <w:basedOn w:val="Normal"/>
    <w:rsid w:val="00DD5DC6"/>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DD5DC6"/>
    <w:rPr>
      <w:rFonts w:asciiTheme="majorHAnsi" w:eastAsiaTheme="majorEastAsia" w:hAnsiTheme="majorHAnsi" w:cstheme="majorBidi"/>
      <w:sz w:val="20"/>
    </w:rPr>
  </w:style>
  <w:style w:type="character" w:styleId="FollowedHyperlink">
    <w:name w:val="FollowedHyperlink"/>
    <w:basedOn w:val="DefaultParagraphFont"/>
    <w:rsid w:val="00DD5DC6"/>
    <w:rPr>
      <w:color w:val="800080" w:themeColor="followedHyperlink"/>
      <w:u w:val="single"/>
      <w:lang w:val="en-US"/>
    </w:rPr>
  </w:style>
  <w:style w:type="character" w:styleId="FootnoteReference">
    <w:name w:val="footnote reference"/>
    <w:basedOn w:val="DefaultParagraphFont"/>
    <w:rsid w:val="00DD5DC6"/>
    <w:rPr>
      <w:vertAlign w:val="superscript"/>
      <w:lang w:val="en-US"/>
    </w:rPr>
  </w:style>
  <w:style w:type="paragraph" w:styleId="FootnoteText">
    <w:name w:val="footnote text"/>
    <w:basedOn w:val="Normal"/>
    <w:link w:val="FootnoteTextChar"/>
    <w:rsid w:val="00DD5DC6"/>
    <w:rPr>
      <w:sz w:val="20"/>
    </w:rPr>
  </w:style>
  <w:style w:type="character" w:customStyle="1" w:styleId="FootnoteTextChar">
    <w:name w:val="Footnote Text Char"/>
    <w:basedOn w:val="DefaultParagraphFont"/>
    <w:link w:val="FootnoteText"/>
    <w:rsid w:val="00DD5DC6"/>
    <w:rPr>
      <w:rFonts w:ascii="Garamond" w:hAnsi="Garamond" w:cs="Arial"/>
      <w:lang w:val="en-US"/>
    </w:rPr>
  </w:style>
  <w:style w:type="character" w:styleId="HTMLAcronym">
    <w:name w:val="HTML Acronym"/>
    <w:basedOn w:val="DefaultParagraphFont"/>
    <w:rsid w:val="00DD5DC6"/>
    <w:rPr>
      <w:lang w:val="en-US"/>
    </w:rPr>
  </w:style>
  <w:style w:type="paragraph" w:styleId="HTMLAddress">
    <w:name w:val="HTML Address"/>
    <w:basedOn w:val="Normal"/>
    <w:link w:val="HTMLAddressChar"/>
    <w:rsid w:val="00DD5DC6"/>
    <w:rPr>
      <w:i/>
      <w:iCs/>
    </w:rPr>
  </w:style>
  <w:style w:type="character" w:customStyle="1" w:styleId="HTMLAddressChar">
    <w:name w:val="HTML Address Char"/>
    <w:basedOn w:val="DefaultParagraphFont"/>
    <w:link w:val="HTMLAddress"/>
    <w:rsid w:val="00DD5DC6"/>
    <w:rPr>
      <w:rFonts w:ascii="Garamond" w:hAnsi="Garamond" w:cs="Arial"/>
      <w:i/>
      <w:iCs/>
      <w:sz w:val="22"/>
      <w:lang w:val="en-US"/>
    </w:rPr>
  </w:style>
  <w:style w:type="character" w:styleId="HTMLCite">
    <w:name w:val="HTML Cite"/>
    <w:basedOn w:val="DefaultParagraphFont"/>
    <w:rsid w:val="00DD5DC6"/>
    <w:rPr>
      <w:i/>
      <w:iCs/>
      <w:lang w:val="en-US"/>
    </w:rPr>
  </w:style>
  <w:style w:type="character" w:styleId="HTMLCode">
    <w:name w:val="HTML Code"/>
    <w:basedOn w:val="DefaultParagraphFont"/>
    <w:rsid w:val="00DD5DC6"/>
    <w:rPr>
      <w:rFonts w:ascii="Consolas" w:hAnsi="Consolas"/>
      <w:sz w:val="20"/>
      <w:szCs w:val="20"/>
      <w:lang w:val="en-US"/>
    </w:rPr>
  </w:style>
  <w:style w:type="character" w:styleId="HTMLDefinition">
    <w:name w:val="HTML Definition"/>
    <w:basedOn w:val="DefaultParagraphFont"/>
    <w:rsid w:val="00DD5DC6"/>
    <w:rPr>
      <w:i/>
      <w:iCs/>
      <w:lang w:val="en-US"/>
    </w:rPr>
  </w:style>
  <w:style w:type="character" w:styleId="HTMLKeyboard">
    <w:name w:val="HTML Keyboard"/>
    <w:basedOn w:val="DefaultParagraphFont"/>
    <w:rsid w:val="00DD5DC6"/>
    <w:rPr>
      <w:rFonts w:ascii="Consolas" w:hAnsi="Consolas"/>
      <w:sz w:val="20"/>
      <w:szCs w:val="20"/>
      <w:lang w:val="en-US"/>
    </w:rPr>
  </w:style>
  <w:style w:type="paragraph" w:styleId="HTMLPreformatted">
    <w:name w:val="HTML Preformatted"/>
    <w:basedOn w:val="Normal"/>
    <w:link w:val="HTMLPreformattedChar"/>
    <w:rsid w:val="00DD5DC6"/>
    <w:rPr>
      <w:rFonts w:ascii="Consolas" w:hAnsi="Consolas"/>
      <w:sz w:val="20"/>
    </w:rPr>
  </w:style>
  <w:style w:type="character" w:customStyle="1" w:styleId="HTMLPreformattedChar">
    <w:name w:val="HTML Preformatted Char"/>
    <w:basedOn w:val="DefaultParagraphFont"/>
    <w:link w:val="HTMLPreformatted"/>
    <w:rsid w:val="00DD5DC6"/>
    <w:rPr>
      <w:rFonts w:ascii="Consolas" w:hAnsi="Consolas" w:cs="Arial"/>
      <w:lang w:val="en-US"/>
    </w:rPr>
  </w:style>
  <w:style w:type="character" w:styleId="HTMLSample">
    <w:name w:val="HTML Sample"/>
    <w:basedOn w:val="DefaultParagraphFont"/>
    <w:rsid w:val="00DD5DC6"/>
    <w:rPr>
      <w:rFonts w:ascii="Consolas" w:hAnsi="Consolas"/>
      <w:sz w:val="24"/>
      <w:szCs w:val="24"/>
      <w:lang w:val="en-US"/>
    </w:rPr>
  </w:style>
  <w:style w:type="character" w:styleId="HTMLTypewriter">
    <w:name w:val="HTML Typewriter"/>
    <w:basedOn w:val="DefaultParagraphFont"/>
    <w:rsid w:val="00DD5DC6"/>
    <w:rPr>
      <w:rFonts w:ascii="Consolas" w:hAnsi="Consolas"/>
      <w:sz w:val="20"/>
      <w:szCs w:val="20"/>
      <w:lang w:val="en-US"/>
    </w:rPr>
  </w:style>
  <w:style w:type="character" w:styleId="HTMLVariable">
    <w:name w:val="HTML Variable"/>
    <w:basedOn w:val="DefaultParagraphFont"/>
    <w:rsid w:val="00DD5DC6"/>
    <w:rPr>
      <w:i/>
      <w:iCs/>
      <w:lang w:val="en-US"/>
    </w:rPr>
  </w:style>
  <w:style w:type="character" w:styleId="Hyperlink">
    <w:name w:val="Hyperlink"/>
    <w:basedOn w:val="DefaultParagraphFont"/>
    <w:uiPriority w:val="99"/>
    <w:rsid w:val="00DD5DC6"/>
    <w:rPr>
      <w:color w:val="0000FF" w:themeColor="hyperlink"/>
      <w:u w:val="single"/>
      <w:lang w:val="en-US"/>
    </w:rPr>
  </w:style>
  <w:style w:type="paragraph" w:styleId="Index1">
    <w:name w:val="index 1"/>
    <w:basedOn w:val="Normal"/>
    <w:next w:val="Normal"/>
    <w:autoRedefine/>
    <w:rsid w:val="00DD5DC6"/>
    <w:pPr>
      <w:ind w:left="220" w:hanging="220"/>
    </w:pPr>
  </w:style>
  <w:style w:type="paragraph" w:styleId="Index2">
    <w:name w:val="index 2"/>
    <w:basedOn w:val="Normal"/>
    <w:next w:val="Normal"/>
    <w:autoRedefine/>
    <w:rsid w:val="00DD5DC6"/>
    <w:pPr>
      <w:ind w:left="440" w:hanging="220"/>
    </w:pPr>
  </w:style>
  <w:style w:type="paragraph" w:styleId="Index3">
    <w:name w:val="index 3"/>
    <w:basedOn w:val="Normal"/>
    <w:next w:val="Normal"/>
    <w:autoRedefine/>
    <w:rsid w:val="00DD5DC6"/>
    <w:pPr>
      <w:ind w:left="660" w:hanging="220"/>
    </w:pPr>
  </w:style>
  <w:style w:type="paragraph" w:styleId="Index4">
    <w:name w:val="index 4"/>
    <w:basedOn w:val="Normal"/>
    <w:next w:val="Normal"/>
    <w:autoRedefine/>
    <w:rsid w:val="00DD5DC6"/>
    <w:pPr>
      <w:ind w:left="880" w:hanging="220"/>
    </w:pPr>
  </w:style>
  <w:style w:type="paragraph" w:styleId="Index5">
    <w:name w:val="index 5"/>
    <w:basedOn w:val="Normal"/>
    <w:next w:val="Normal"/>
    <w:autoRedefine/>
    <w:rsid w:val="00DD5DC6"/>
    <w:pPr>
      <w:ind w:left="1100" w:hanging="220"/>
    </w:pPr>
  </w:style>
  <w:style w:type="paragraph" w:styleId="Index6">
    <w:name w:val="index 6"/>
    <w:basedOn w:val="Normal"/>
    <w:next w:val="Normal"/>
    <w:autoRedefine/>
    <w:rsid w:val="00DD5DC6"/>
    <w:pPr>
      <w:ind w:left="1320" w:hanging="220"/>
    </w:pPr>
  </w:style>
  <w:style w:type="paragraph" w:styleId="Index7">
    <w:name w:val="index 7"/>
    <w:basedOn w:val="Normal"/>
    <w:next w:val="Normal"/>
    <w:autoRedefine/>
    <w:rsid w:val="00DD5DC6"/>
    <w:pPr>
      <w:ind w:left="1540" w:hanging="220"/>
    </w:pPr>
  </w:style>
  <w:style w:type="paragraph" w:styleId="Index8">
    <w:name w:val="index 8"/>
    <w:basedOn w:val="Normal"/>
    <w:next w:val="Normal"/>
    <w:autoRedefine/>
    <w:rsid w:val="00DD5DC6"/>
    <w:pPr>
      <w:ind w:left="1760" w:hanging="220"/>
    </w:pPr>
  </w:style>
  <w:style w:type="paragraph" w:styleId="Index9">
    <w:name w:val="index 9"/>
    <w:basedOn w:val="Normal"/>
    <w:next w:val="Normal"/>
    <w:autoRedefine/>
    <w:rsid w:val="00DD5DC6"/>
    <w:pPr>
      <w:ind w:left="1980" w:hanging="220"/>
    </w:pPr>
  </w:style>
  <w:style w:type="paragraph" w:styleId="IndexHeading">
    <w:name w:val="index heading"/>
    <w:basedOn w:val="Normal"/>
    <w:next w:val="Index1"/>
    <w:rsid w:val="00DD5DC6"/>
    <w:rPr>
      <w:rFonts w:asciiTheme="majorHAnsi" w:eastAsiaTheme="majorEastAsia" w:hAnsiTheme="majorHAnsi" w:cstheme="majorBidi"/>
      <w:b/>
      <w:bCs/>
    </w:rPr>
  </w:style>
  <w:style w:type="character" w:styleId="IntenseEmphasis">
    <w:name w:val="Intense Emphasis"/>
    <w:basedOn w:val="DefaultParagraphFont"/>
    <w:uiPriority w:val="21"/>
    <w:rsid w:val="00DD5DC6"/>
    <w:rPr>
      <w:b/>
      <w:bCs/>
      <w:i/>
      <w:iCs/>
      <w:color w:val="4F2D7F" w:themeColor="accent1"/>
      <w:lang w:val="en-US"/>
    </w:rPr>
  </w:style>
  <w:style w:type="character" w:styleId="IntenseReference">
    <w:name w:val="Intense Reference"/>
    <w:basedOn w:val="DefaultParagraphFont"/>
    <w:uiPriority w:val="32"/>
    <w:rsid w:val="00DD5DC6"/>
    <w:rPr>
      <w:b/>
      <w:bCs/>
      <w:smallCaps/>
      <w:color w:val="C30045" w:themeColor="accent2"/>
      <w:spacing w:val="5"/>
      <w:u w:val="single"/>
      <w:lang w:val="en-US"/>
    </w:rPr>
  </w:style>
  <w:style w:type="table" w:styleId="LightGrid">
    <w:name w:val="Light Grid"/>
    <w:basedOn w:val="TableNormal"/>
    <w:uiPriority w:val="62"/>
    <w:rsid w:val="00DD5DC6"/>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DD5DC6"/>
    <w:tblPr>
      <w:tblStyleRowBandSize w:val="1"/>
      <w:tblStyleColBandSize w:val="1"/>
      <w:tblBorders>
        <w:top w:val="single" w:sz="8" w:space="0" w:color="4F2D7F" w:themeColor="accent1"/>
        <w:left w:val="single" w:sz="8" w:space="0" w:color="4F2D7F" w:themeColor="accent1"/>
        <w:bottom w:val="single" w:sz="8" w:space="0" w:color="4F2D7F" w:themeColor="accent1"/>
        <w:right w:val="single" w:sz="8" w:space="0" w:color="4F2D7F" w:themeColor="accent1"/>
        <w:insideH w:val="single" w:sz="8" w:space="0" w:color="4F2D7F" w:themeColor="accent1"/>
        <w:insideV w:val="single" w:sz="8" w:space="0" w:color="4F2D7F"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2D7F" w:themeColor="accent1"/>
          <w:left w:val="single" w:sz="8" w:space="0" w:color="4F2D7F" w:themeColor="accent1"/>
          <w:bottom w:val="single" w:sz="18" w:space="0" w:color="4F2D7F" w:themeColor="accent1"/>
          <w:right w:val="single" w:sz="8" w:space="0" w:color="4F2D7F" w:themeColor="accent1"/>
          <w:insideH w:val="nil"/>
          <w:insideV w:val="single" w:sz="8" w:space="0" w:color="4F2D7F"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2D7F" w:themeColor="accent1"/>
          <w:left w:val="single" w:sz="8" w:space="0" w:color="4F2D7F" w:themeColor="accent1"/>
          <w:bottom w:val="single" w:sz="8" w:space="0" w:color="4F2D7F" w:themeColor="accent1"/>
          <w:right w:val="single" w:sz="8" w:space="0" w:color="4F2D7F" w:themeColor="accent1"/>
          <w:insideH w:val="nil"/>
          <w:insideV w:val="single" w:sz="8" w:space="0" w:color="4F2D7F"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2D7F" w:themeColor="accent1"/>
          <w:left w:val="single" w:sz="8" w:space="0" w:color="4F2D7F" w:themeColor="accent1"/>
          <w:bottom w:val="single" w:sz="8" w:space="0" w:color="4F2D7F" w:themeColor="accent1"/>
          <w:right w:val="single" w:sz="8" w:space="0" w:color="4F2D7F" w:themeColor="accent1"/>
        </w:tcBorders>
      </w:tcPr>
    </w:tblStylePr>
    <w:tblStylePr w:type="band1Vert">
      <w:tblPr/>
      <w:tcPr>
        <w:tcBorders>
          <w:top w:val="single" w:sz="8" w:space="0" w:color="4F2D7F" w:themeColor="accent1"/>
          <w:left w:val="single" w:sz="8" w:space="0" w:color="4F2D7F" w:themeColor="accent1"/>
          <w:bottom w:val="single" w:sz="8" w:space="0" w:color="4F2D7F" w:themeColor="accent1"/>
          <w:right w:val="single" w:sz="8" w:space="0" w:color="4F2D7F" w:themeColor="accent1"/>
        </w:tcBorders>
        <w:shd w:val="clear" w:color="auto" w:fill="D1C1E9" w:themeFill="accent1" w:themeFillTint="3F"/>
      </w:tcPr>
    </w:tblStylePr>
    <w:tblStylePr w:type="band1Horz">
      <w:tblPr/>
      <w:tcPr>
        <w:tcBorders>
          <w:top w:val="single" w:sz="8" w:space="0" w:color="4F2D7F" w:themeColor="accent1"/>
          <w:left w:val="single" w:sz="8" w:space="0" w:color="4F2D7F" w:themeColor="accent1"/>
          <w:bottom w:val="single" w:sz="8" w:space="0" w:color="4F2D7F" w:themeColor="accent1"/>
          <w:right w:val="single" w:sz="8" w:space="0" w:color="4F2D7F" w:themeColor="accent1"/>
          <w:insideV w:val="single" w:sz="8" w:space="0" w:color="4F2D7F" w:themeColor="accent1"/>
        </w:tcBorders>
        <w:shd w:val="clear" w:color="auto" w:fill="D1C1E9" w:themeFill="accent1" w:themeFillTint="3F"/>
      </w:tcPr>
    </w:tblStylePr>
    <w:tblStylePr w:type="band2Horz">
      <w:tblPr/>
      <w:tcPr>
        <w:tcBorders>
          <w:top w:val="single" w:sz="8" w:space="0" w:color="4F2D7F" w:themeColor="accent1"/>
          <w:left w:val="single" w:sz="8" w:space="0" w:color="4F2D7F" w:themeColor="accent1"/>
          <w:bottom w:val="single" w:sz="8" w:space="0" w:color="4F2D7F" w:themeColor="accent1"/>
          <w:right w:val="single" w:sz="8" w:space="0" w:color="4F2D7F" w:themeColor="accent1"/>
          <w:insideV w:val="single" w:sz="8" w:space="0" w:color="4F2D7F" w:themeColor="accent1"/>
        </w:tcBorders>
      </w:tcPr>
    </w:tblStylePr>
  </w:style>
  <w:style w:type="table" w:styleId="LightGrid-Accent2">
    <w:name w:val="Light Grid Accent 2"/>
    <w:basedOn w:val="TableNormal"/>
    <w:uiPriority w:val="62"/>
    <w:rsid w:val="00DD5DC6"/>
    <w:tblPr>
      <w:tblStyleRowBandSize w:val="1"/>
      <w:tblStyleColBandSize w:val="1"/>
      <w:tblBorders>
        <w:top w:val="single" w:sz="8" w:space="0" w:color="C30045" w:themeColor="accent2"/>
        <w:left w:val="single" w:sz="8" w:space="0" w:color="C30045" w:themeColor="accent2"/>
        <w:bottom w:val="single" w:sz="8" w:space="0" w:color="C30045" w:themeColor="accent2"/>
        <w:right w:val="single" w:sz="8" w:space="0" w:color="C30045" w:themeColor="accent2"/>
        <w:insideH w:val="single" w:sz="8" w:space="0" w:color="C30045" w:themeColor="accent2"/>
        <w:insideV w:val="single" w:sz="8" w:space="0" w:color="C30045"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30045" w:themeColor="accent2"/>
          <w:left w:val="single" w:sz="8" w:space="0" w:color="C30045" w:themeColor="accent2"/>
          <w:bottom w:val="single" w:sz="18" w:space="0" w:color="C30045" w:themeColor="accent2"/>
          <w:right w:val="single" w:sz="8" w:space="0" w:color="C30045" w:themeColor="accent2"/>
          <w:insideH w:val="nil"/>
          <w:insideV w:val="single" w:sz="8" w:space="0" w:color="C30045"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30045" w:themeColor="accent2"/>
          <w:left w:val="single" w:sz="8" w:space="0" w:color="C30045" w:themeColor="accent2"/>
          <w:bottom w:val="single" w:sz="8" w:space="0" w:color="C30045" w:themeColor="accent2"/>
          <w:right w:val="single" w:sz="8" w:space="0" w:color="C30045" w:themeColor="accent2"/>
          <w:insideH w:val="nil"/>
          <w:insideV w:val="single" w:sz="8" w:space="0" w:color="C30045"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30045" w:themeColor="accent2"/>
          <w:left w:val="single" w:sz="8" w:space="0" w:color="C30045" w:themeColor="accent2"/>
          <w:bottom w:val="single" w:sz="8" w:space="0" w:color="C30045" w:themeColor="accent2"/>
          <w:right w:val="single" w:sz="8" w:space="0" w:color="C30045" w:themeColor="accent2"/>
        </w:tcBorders>
      </w:tcPr>
    </w:tblStylePr>
    <w:tblStylePr w:type="band1Vert">
      <w:tblPr/>
      <w:tcPr>
        <w:tcBorders>
          <w:top w:val="single" w:sz="8" w:space="0" w:color="C30045" w:themeColor="accent2"/>
          <w:left w:val="single" w:sz="8" w:space="0" w:color="C30045" w:themeColor="accent2"/>
          <w:bottom w:val="single" w:sz="8" w:space="0" w:color="C30045" w:themeColor="accent2"/>
          <w:right w:val="single" w:sz="8" w:space="0" w:color="C30045" w:themeColor="accent2"/>
        </w:tcBorders>
        <w:shd w:val="clear" w:color="auto" w:fill="FFB1CC" w:themeFill="accent2" w:themeFillTint="3F"/>
      </w:tcPr>
    </w:tblStylePr>
    <w:tblStylePr w:type="band1Horz">
      <w:tblPr/>
      <w:tcPr>
        <w:tcBorders>
          <w:top w:val="single" w:sz="8" w:space="0" w:color="C30045" w:themeColor="accent2"/>
          <w:left w:val="single" w:sz="8" w:space="0" w:color="C30045" w:themeColor="accent2"/>
          <w:bottom w:val="single" w:sz="8" w:space="0" w:color="C30045" w:themeColor="accent2"/>
          <w:right w:val="single" w:sz="8" w:space="0" w:color="C30045" w:themeColor="accent2"/>
          <w:insideV w:val="single" w:sz="8" w:space="0" w:color="C30045" w:themeColor="accent2"/>
        </w:tcBorders>
        <w:shd w:val="clear" w:color="auto" w:fill="FFB1CC" w:themeFill="accent2" w:themeFillTint="3F"/>
      </w:tcPr>
    </w:tblStylePr>
    <w:tblStylePr w:type="band2Horz">
      <w:tblPr/>
      <w:tcPr>
        <w:tcBorders>
          <w:top w:val="single" w:sz="8" w:space="0" w:color="C30045" w:themeColor="accent2"/>
          <w:left w:val="single" w:sz="8" w:space="0" w:color="C30045" w:themeColor="accent2"/>
          <w:bottom w:val="single" w:sz="8" w:space="0" w:color="C30045" w:themeColor="accent2"/>
          <w:right w:val="single" w:sz="8" w:space="0" w:color="C30045" w:themeColor="accent2"/>
          <w:insideV w:val="single" w:sz="8" w:space="0" w:color="C30045" w:themeColor="accent2"/>
        </w:tcBorders>
      </w:tcPr>
    </w:tblStylePr>
  </w:style>
  <w:style w:type="table" w:styleId="LightGrid-Accent3">
    <w:name w:val="Light Grid Accent 3"/>
    <w:basedOn w:val="TableNormal"/>
    <w:uiPriority w:val="62"/>
    <w:rsid w:val="00DD5DC6"/>
    <w:tblPr>
      <w:tblStyleRowBandSize w:val="1"/>
      <w:tblStyleColBandSize w:val="1"/>
      <w:tblBorders>
        <w:top w:val="single" w:sz="8" w:space="0" w:color="B1059D" w:themeColor="accent3"/>
        <w:left w:val="single" w:sz="8" w:space="0" w:color="B1059D" w:themeColor="accent3"/>
        <w:bottom w:val="single" w:sz="8" w:space="0" w:color="B1059D" w:themeColor="accent3"/>
        <w:right w:val="single" w:sz="8" w:space="0" w:color="B1059D" w:themeColor="accent3"/>
        <w:insideH w:val="single" w:sz="8" w:space="0" w:color="B1059D" w:themeColor="accent3"/>
        <w:insideV w:val="single" w:sz="8" w:space="0" w:color="B1059D"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1059D" w:themeColor="accent3"/>
          <w:left w:val="single" w:sz="8" w:space="0" w:color="B1059D" w:themeColor="accent3"/>
          <w:bottom w:val="single" w:sz="18" w:space="0" w:color="B1059D" w:themeColor="accent3"/>
          <w:right w:val="single" w:sz="8" w:space="0" w:color="B1059D" w:themeColor="accent3"/>
          <w:insideH w:val="nil"/>
          <w:insideV w:val="single" w:sz="8" w:space="0" w:color="B1059D"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1059D" w:themeColor="accent3"/>
          <w:left w:val="single" w:sz="8" w:space="0" w:color="B1059D" w:themeColor="accent3"/>
          <w:bottom w:val="single" w:sz="8" w:space="0" w:color="B1059D" w:themeColor="accent3"/>
          <w:right w:val="single" w:sz="8" w:space="0" w:color="B1059D" w:themeColor="accent3"/>
          <w:insideH w:val="nil"/>
          <w:insideV w:val="single" w:sz="8" w:space="0" w:color="B1059D"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1059D" w:themeColor="accent3"/>
          <w:left w:val="single" w:sz="8" w:space="0" w:color="B1059D" w:themeColor="accent3"/>
          <w:bottom w:val="single" w:sz="8" w:space="0" w:color="B1059D" w:themeColor="accent3"/>
          <w:right w:val="single" w:sz="8" w:space="0" w:color="B1059D" w:themeColor="accent3"/>
        </w:tcBorders>
      </w:tcPr>
    </w:tblStylePr>
    <w:tblStylePr w:type="band1Vert">
      <w:tblPr/>
      <w:tcPr>
        <w:tcBorders>
          <w:top w:val="single" w:sz="8" w:space="0" w:color="B1059D" w:themeColor="accent3"/>
          <w:left w:val="single" w:sz="8" w:space="0" w:color="B1059D" w:themeColor="accent3"/>
          <w:bottom w:val="single" w:sz="8" w:space="0" w:color="B1059D" w:themeColor="accent3"/>
          <w:right w:val="single" w:sz="8" w:space="0" w:color="B1059D" w:themeColor="accent3"/>
        </w:tcBorders>
        <w:shd w:val="clear" w:color="auto" w:fill="FCAFF3" w:themeFill="accent3" w:themeFillTint="3F"/>
      </w:tcPr>
    </w:tblStylePr>
    <w:tblStylePr w:type="band1Horz">
      <w:tblPr/>
      <w:tcPr>
        <w:tcBorders>
          <w:top w:val="single" w:sz="8" w:space="0" w:color="B1059D" w:themeColor="accent3"/>
          <w:left w:val="single" w:sz="8" w:space="0" w:color="B1059D" w:themeColor="accent3"/>
          <w:bottom w:val="single" w:sz="8" w:space="0" w:color="B1059D" w:themeColor="accent3"/>
          <w:right w:val="single" w:sz="8" w:space="0" w:color="B1059D" w:themeColor="accent3"/>
          <w:insideV w:val="single" w:sz="8" w:space="0" w:color="B1059D" w:themeColor="accent3"/>
        </w:tcBorders>
        <w:shd w:val="clear" w:color="auto" w:fill="FCAFF3" w:themeFill="accent3" w:themeFillTint="3F"/>
      </w:tcPr>
    </w:tblStylePr>
    <w:tblStylePr w:type="band2Horz">
      <w:tblPr/>
      <w:tcPr>
        <w:tcBorders>
          <w:top w:val="single" w:sz="8" w:space="0" w:color="B1059D" w:themeColor="accent3"/>
          <w:left w:val="single" w:sz="8" w:space="0" w:color="B1059D" w:themeColor="accent3"/>
          <w:bottom w:val="single" w:sz="8" w:space="0" w:color="B1059D" w:themeColor="accent3"/>
          <w:right w:val="single" w:sz="8" w:space="0" w:color="B1059D" w:themeColor="accent3"/>
          <w:insideV w:val="single" w:sz="8" w:space="0" w:color="B1059D" w:themeColor="accent3"/>
        </w:tcBorders>
      </w:tcPr>
    </w:tblStylePr>
  </w:style>
  <w:style w:type="table" w:styleId="LightGrid-Accent4">
    <w:name w:val="Light Grid Accent 4"/>
    <w:basedOn w:val="TableNormal"/>
    <w:uiPriority w:val="62"/>
    <w:rsid w:val="00DD5DC6"/>
    <w:tblPr>
      <w:tblStyleRowBandSize w:val="1"/>
      <w:tblStyleColBandSize w:val="1"/>
      <w:tblBorders>
        <w:top w:val="single" w:sz="8" w:space="0" w:color="006D55" w:themeColor="accent4"/>
        <w:left w:val="single" w:sz="8" w:space="0" w:color="006D55" w:themeColor="accent4"/>
        <w:bottom w:val="single" w:sz="8" w:space="0" w:color="006D55" w:themeColor="accent4"/>
        <w:right w:val="single" w:sz="8" w:space="0" w:color="006D55" w:themeColor="accent4"/>
        <w:insideH w:val="single" w:sz="8" w:space="0" w:color="006D55" w:themeColor="accent4"/>
        <w:insideV w:val="single" w:sz="8" w:space="0" w:color="006D5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6D55" w:themeColor="accent4"/>
          <w:left w:val="single" w:sz="8" w:space="0" w:color="006D55" w:themeColor="accent4"/>
          <w:bottom w:val="single" w:sz="18" w:space="0" w:color="006D55" w:themeColor="accent4"/>
          <w:right w:val="single" w:sz="8" w:space="0" w:color="006D55" w:themeColor="accent4"/>
          <w:insideH w:val="nil"/>
          <w:insideV w:val="single" w:sz="8" w:space="0" w:color="006D5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D55" w:themeColor="accent4"/>
          <w:left w:val="single" w:sz="8" w:space="0" w:color="006D55" w:themeColor="accent4"/>
          <w:bottom w:val="single" w:sz="8" w:space="0" w:color="006D55" w:themeColor="accent4"/>
          <w:right w:val="single" w:sz="8" w:space="0" w:color="006D55" w:themeColor="accent4"/>
          <w:insideH w:val="nil"/>
          <w:insideV w:val="single" w:sz="8" w:space="0" w:color="006D5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D55" w:themeColor="accent4"/>
          <w:left w:val="single" w:sz="8" w:space="0" w:color="006D55" w:themeColor="accent4"/>
          <w:bottom w:val="single" w:sz="8" w:space="0" w:color="006D55" w:themeColor="accent4"/>
          <w:right w:val="single" w:sz="8" w:space="0" w:color="006D55" w:themeColor="accent4"/>
        </w:tcBorders>
      </w:tcPr>
    </w:tblStylePr>
    <w:tblStylePr w:type="band1Vert">
      <w:tblPr/>
      <w:tcPr>
        <w:tcBorders>
          <w:top w:val="single" w:sz="8" w:space="0" w:color="006D55" w:themeColor="accent4"/>
          <w:left w:val="single" w:sz="8" w:space="0" w:color="006D55" w:themeColor="accent4"/>
          <w:bottom w:val="single" w:sz="8" w:space="0" w:color="006D55" w:themeColor="accent4"/>
          <w:right w:val="single" w:sz="8" w:space="0" w:color="006D55" w:themeColor="accent4"/>
        </w:tcBorders>
        <w:shd w:val="clear" w:color="auto" w:fill="9BFFE8" w:themeFill="accent4" w:themeFillTint="3F"/>
      </w:tcPr>
    </w:tblStylePr>
    <w:tblStylePr w:type="band1Horz">
      <w:tblPr/>
      <w:tcPr>
        <w:tcBorders>
          <w:top w:val="single" w:sz="8" w:space="0" w:color="006D55" w:themeColor="accent4"/>
          <w:left w:val="single" w:sz="8" w:space="0" w:color="006D55" w:themeColor="accent4"/>
          <w:bottom w:val="single" w:sz="8" w:space="0" w:color="006D55" w:themeColor="accent4"/>
          <w:right w:val="single" w:sz="8" w:space="0" w:color="006D55" w:themeColor="accent4"/>
          <w:insideV w:val="single" w:sz="8" w:space="0" w:color="006D55" w:themeColor="accent4"/>
        </w:tcBorders>
        <w:shd w:val="clear" w:color="auto" w:fill="9BFFE8" w:themeFill="accent4" w:themeFillTint="3F"/>
      </w:tcPr>
    </w:tblStylePr>
    <w:tblStylePr w:type="band2Horz">
      <w:tblPr/>
      <w:tcPr>
        <w:tcBorders>
          <w:top w:val="single" w:sz="8" w:space="0" w:color="006D55" w:themeColor="accent4"/>
          <w:left w:val="single" w:sz="8" w:space="0" w:color="006D55" w:themeColor="accent4"/>
          <w:bottom w:val="single" w:sz="8" w:space="0" w:color="006D55" w:themeColor="accent4"/>
          <w:right w:val="single" w:sz="8" w:space="0" w:color="006D55" w:themeColor="accent4"/>
          <w:insideV w:val="single" w:sz="8" w:space="0" w:color="006D55" w:themeColor="accent4"/>
        </w:tcBorders>
      </w:tcPr>
    </w:tblStylePr>
  </w:style>
  <w:style w:type="table" w:styleId="LightGrid-Accent5">
    <w:name w:val="Light Grid Accent 5"/>
    <w:basedOn w:val="TableNormal"/>
    <w:uiPriority w:val="62"/>
    <w:rsid w:val="00DD5DC6"/>
    <w:tblPr>
      <w:tblStyleRowBandSize w:val="1"/>
      <w:tblStyleColBandSize w:val="1"/>
      <w:tblBorders>
        <w:top w:val="single" w:sz="8" w:space="0" w:color="7AB800" w:themeColor="accent5"/>
        <w:left w:val="single" w:sz="8" w:space="0" w:color="7AB800" w:themeColor="accent5"/>
        <w:bottom w:val="single" w:sz="8" w:space="0" w:color="7AB800" w:themeColor="accent5"/>
        <w:right w:val="single" w:sz="8" w:space="0" w:color="7AB800" w:themeColor="accent5"/>
        <w:insideH w:val="single" w:sz="8" w:space="0" w:color="7AB800" w:themeColor="accent5"/>
        <w:insideV w:val="single" w:sz="8" w:space="0" w:color="7AB80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AB800" w:themeColor="accent5"/>
          <w:left w:val="single" w:sz="8" w:space="0" w:color="7AB800" w:themeColor="accent5"/>
          <w:bottom w:val="single" w:sz="18" w:space="0" w:color="7AB800" w:themeColor="accent5"/>
          <w:right w:val="single" w:sz="8" w:space="0" w:color="7AB800" w:themeColor="accent5"/>
          <w:insideH w:val="nil"/>
          <w:insideV w:val="single" w:sz="8" w:space="0" w:color="7AB80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AB800" w:themeColor="accent5"/>
          <w:left w:val="single" w:sz="8" w:space="0" w:color="7AB800" w:themeColor="accent5"/>
          <w:bottom w:val="single" w:sz="8" w:space="0" w:color="7AB800" w:themeColor="accent5"/>
          <w:right w:val="single" w:sz="8" w:space="0" w:color="7AB800" w:themeColor="accent5"/>
          <w:insideH w:val="nil"/>
          <w:insideV w:val="single" w:sz="8" w:space="0" w:color="7AB80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AB800" w:themeColor="accent5"/>
          <w:left w:val="single" w:sz="8" w:space="0" w:color="7AB800" w:themeColor="accent5"/>
          <w:bottom w:val="single" w:sz="8" w:space="0" w:color="7AB800" w:themeColor="accent5"/>
          <w:right w:val="single" w:sz="8" w:space="0" w:color="7AB800" w:themeColor="accent5"/>
        </w:tcBorders>
      </w:tcPr>
    </w:tblStylePr>
    <w:tblStylePr w:type="band1Vert">
      <w:tblPr/>
      <w:tcPr>
        <w:tcBorders>
          <w:top w:val="single" w:sz="8" w:space="0" w:color="7AB800" w:themeColor="accent5"/>
          <w:left w:val="single" w:sz="8" w:space="0" w:color="7AB800" w:themeColor="accent5"/>
          <w:bottom w:val="single" w:sz="8" w:space="0" w:color="7AB800" w:themeColor="accent5"/>
          <w:right w:val="single" w:sz="8" w:space="0" w:color="7AB800" w:themeColor="accent5"/>
        </w:tcBorders>
        <w:shd w:val="clear" w:color="auto" w:fill="E3FFAE" w:themeFill="accent5" w:themeFillTint="3F"/>
      </w:tcPr>
    </w:tblStylePr>
    <w:tblStylePr w:type="band1Horz">
      <w:tblPr/>
      <w:tcPr>
        <w:tcBorders>
          <w:top w:val="single" w:sz="8" w:space="0" w:color="7AB800" w:themeColor="accent5"/>
          <w:left w:val="single" w:sz="8" w:space="0" w:color="7AB800" w:themeColor="accent5"/>
          <w:bottom w:val="single" w:sz="8" w:space="0" w:color="7AB800" w:themeColor="accent5"/>
          <w:right w:val="single" w:sz="8" w:space="0" w:color="7AB800" w:themeColor="accent5"/>
          <w:insideV w:val="single" w:sz="8" w:space="0" w:color="7AB800" w:themeColor="accent5"/>
        </w:tcBorders>
        <w:shd w:val="clear" w:color="auto" w:fill="E3FFAE" w:themeFill="accent5" w:themeFillTint="3F"/>
      </w:tcPr>
    </w:tblStylePr>
    <w:tblStylePr w:type="band2Horz">
      <w:tblPr/>
      <w:tcPr>
        <w:tcBorders>
          <w:top w:val="single" w:sz="8" w:space="0" w:color="7AB800" w:themeColor="accent5"/>
          <w:left w:val="single" w:sz="8" w:space="0" w:color="7AB800" w:themeColor="accent5"/>
          <w:bottom w:val="single" w:sz="8" w:space="0" w:color="7AB800" w:themeColor="accent5"/>
          <w:right w:val="single" w:sz="8" w:space="0" w:color="7AB800" w:themeColor="accent5"/>
          <w:insideV w:val="single" w:sz="8" w:space="0" w:color="7AB800" w:themeColor="accent5"/>
        </w:tcBorders>
      </w:tcPr>
    </w:tblStylePr>
  </w:style>
  <w:style w:type="table" w:styleId="LightGrid-Accent6">
    <w:name w:val="Light Grid Accent 6"/>
    <w:basedOn w:val="TableNormal"/>
    <w:uiPriority w:val="62"/>
    <w:rsid w:val="00DD5DC6"/>
    <w:tblPr>
      <w:tblStyleRowBandSize w:val="1"/>
      <w:tblStyleColBandSize w:val="1"/>
      <w:tblBorders>
        <w:top w:val="single" w:sz="8" w:space="0" w:color="FF7900" w:themeColor="accent6"/>
        <w:left w:val="single" w:sz="8" w:space="0" w:color="FF7900" w:themeColor="accent6"/>
        <w:bottom w:val="single" w:sz="8" w:space="0" w:color="FF7900" w:themeColor="accent6"/>
        <w:right w:val="single" w:sz="8" w:space="0" w:color="FF7900" w:themeColor="accent6"/>
        <w:insideH w:val="single" w:sz="8" w:space="0" w:color="FF7900" w:themeColor="accent6"/>
        <w:insideV w:val="single" w:sz="8" w:space="0" w:color="FF790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7900" w:themeColor="accent6"/>
          <w:left w:val="single" w:sz="8" w:space="0" w:color="FF7900" w:themeColor="accent6"/>
          <w:bottom w:val="single" w:sz="18" w:space="0" w:color="FF7900" w:themeColor="accent6"/>
          <w:right w:val="single" w:sz="8" w:space="0" w:color="FF7900" w:themeColor="accent6"/>
          <w:insideH w:val="nil"/>
          <w:insideV w:val="single" w:sz="8" w:space="0" w:color="FF790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7900" w:themeColor="accent6"/>
          <w:left w:val="single" w:sz="8" w:space="0" w:color="FF7900" w:themeColor="accent6"/>
          <w:bottom w:val="single" w:sz="8" w:space="0" w:color="FF7900" w:themeColor="accent6"/>
          <w:right w:val="single" w:sz="8" w:space="0" w:color="FF7900" w:themeColor="accent6"/>
          <w:insideH w:val="nil"/>
          <w:insideV w:val="single" w:sz="8" w:space="0" w:color="FF790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7900" w:themeColor="accent6"/>
          <w:left w:val="single" w:sz="8" w:space="0" w:color="FF7900" w:themeColor="accent6"/>
          <w:bottom w:val="single" w:sz="8" w:space="0" w:color="FF7900" w:themeColor="accent6"/>
          <w:right w:val="single" w:sz="8" w:space="0" w:color="FF7900" w:themeColor="accent6"/>
        </w:tcBorders>
      </w:tcPr>
    </w:tblStylePr>
    <w:tblStylePr w:type="band1Vert">
      <w:tblPr/>
      <w:tcPr>
        <w:tcBorders>
          <w:top w:val="single" w:sz="8" w:space="0" w:color="FF7900" w:themeColor="accent6"/>
          <w:left w:val="single" w:sz="8" w:space="0" w:color="FF7900" w:themeColor="accent6"/>
          <w:bottom w:val="single" w:sz="8" w:space="0" w:color="FF7900" w:themeColor="accent6"/>
          <w:right w:val="single" w:sz="8" w:space="0" w:color="FF7900" w:themeColor="accent6"/>
        </w:tcBorders>
        <w:shd w:val="clear" w:color="auto" w:fill="FFDDC0" w:themeFill="accent6" w:themeFillTint="3F"/>
      </w:tcPr>
    </w:tblStylePr>
    <w:tblStylePr w:type="band1Horz">
      <w:tblPr/>
      <w:tcPr>
        <w:tcBorders>
          <w:top w:val="single" w:sz="8" w:space="0" w:color="FF7900" w:themeColor="accent6"/>
          <w:left w:val="single" w:sz="8" w:space="0" w:color="FF7900" w:themeColor="accent6"/>
          <w:bottom w:val="single" w:sz="8" w:space="0" w:color="FF7900" w:themeColor="accent6"/>
          <w:right w:val="single" w:sz="8" w:space="0" w:color="FF7900" w:themeColor="accent6"/>
          <w:insideV w:val="single" w:sz="8" w:space="0" w:color="FF7900" w:themeColor="accent6"/>
        </w:tcBorders>
        <w:shd w:val="clear" w:color="auto" w:fill="FFDDC0" w:themeFill="accent6" w:themeFillTint="3F"/>
      </w:tcPr>
    </w:tblStylePr>
    <w:tblStylePr w:type="band2Horz">
      <w:tblPr/>
      <w:tcPr>
        <w:tcBorders>
          <w:top w:val="single" w:sz="8" w:space="0" w:color="FF7900" w:themeColor="accent6"/>
          <w:left w:val="single" w:sz="8" w:space="0" w:color="FF7900" w:themeColor="accent6"/>
          <w:bottom w:val="single" w:sz="8" w:space="0" w:color="FF7900" w:themeColor="accent6"/>
          <w:right w:val="single" w:sz="8" w:space="0" w:color="FF7900" w:themeColor="accent6"/>
          <w:insideV w:val="single" w:sz="8" w:space="0" w:color="FF7900" w:themeColor="accent6"/>
        </w:tcBorders>
      </w:tcPr>
    </w:tblStylePr>
  </w:style>
  <w:style w:type="table" w:styleId="LightList">
    <w:name w:val="Light List"/>
    <w:basedOn w:val="TableNormal"/>
    <w:uiPriority w:val="61"/>
    <w:rsid w:val="00DD5DC6"/>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DD5DC6"/>
    <w:tblPr>
      <w:tblStyleRowBandSize w:val="1"/>
      <w:tblStyleColBandSize w:val="1"/>
      <w:tblBorders>
        <w:top w:val="single" w:sz="8" w:space="0" w:color="4F2D7F" w:themeColor="accent1"/>
        <w:left w:val="single" w:sz="8" w:space="0" w:color="4F2D7F" w:themeColor="accent1"/>
        <w:bottom w:val="single" w:sz="8" w:space="0" w:color="4F2D7F" w:themeColor="accent1"/>
        <w:right w:val="single" w:sz="8" w:space="0" w:color="4F2D7F" w:themeColor="accent1"/>
      </w:tblBorders>
    </w:tblPr>
    <w:tblStylePr w:type="firstRow">
      <w:pPr>
        <w:spacing w:before="0" w:after="0" w:line="240" w:lineRule="auto"/>
      </w:pPr>
      <w:rPr>
        <w:b/>
        <w:bCs/>
        <w:color w:val="FFFFFF" w:themeColor="background1"/>
      </w:rPr>
      <w:tblPr/>
      <w:tcPr>
        <w:shd w:val="clear" w:color="auto" w:fill="4F2D7F" w:themeFill="accent1"/>
      </w:tcPr>
    </w:tblStylePr>
    <w:tblStylePr w:type="lastRow">
      <w:pPr>
        <w:spacing w:before="0" w:after="0" w:line="240" w:lineRule="auto"/>
      </w:pPr>
      <w:rPr>
        <w:b/>
        <w:bCs/>
      </w:rPr>
      <w:tblPr/>
      <w:tcPr>
        <w:tcBorders>
          <w:top w:val="double" w:sz="6" w:space="0" w:color="4F2D7F" w:themeColor="accent1"/>
          <w:left w:val="single" w:sz="8" w:space="0" w:color="4F2D7F" w:themeColor="accent1"/>
          <w:bottom w:val="single" w:sz="8" w:space="0" w:color="4F2D7F" w:themeColor="accent1"/>
          <w:right w:val="single" w:sz="8" w:space="0" w:color="4F2D7F" w:themeColor="accent1"/>
        </w:tcBorders>
      </w:tcPr>
    </w:tblStylePr>
    <w:tblStylePr w:type="firstCol">
      <w:rPr>
        <w:b/>
        <w:bCs/>
      </w:rPr>
    </w:tblStylePr>
    <w:tblStylePr w:type="lastCol">
      <w:rPr>
        <w:b/>
        <w:bCs/>
      </w:rPr>
    </w:tblStylePr>
    <w:tblStylePr w:type="band1Vert">
      <w:tblPr/>
      <w:tcPr>
        <w:tcBorders>
          <w:top w:val="single" w:sz="8" w:space="0" w:color="4F2D7F" w:themeColor="accent1"/>
          <w:left w:val="single" w:sz="8" w:space="0" w:color="4F2D7F" w:themeColor="accent1"/>
          <w:bottom w:val="single" w:sz="8" w:space="0" w:color="4F2D7F" w:themeColor="accent1"/>
          <w:right w:val="single" w:sz="8" w:space="0" w:color="4F2D7F" w:themeColor="accent1"/>
        </w:tcBorders>
      </w:tcPr>
    </w:tblStylePr>
    <w:tblStylePr w:type="band1Horz">
      <w:tblPr/>
      <w:tcPr>
        <w:tcBorders>
          <w:top w:val="single" w:sz="8" w:space="0" w:color="4F2D7F" w:themeColor="accent1"/>
          <w:left w:val="single" w:sz="8" w:space="0" w:color="4F2D7F" w:themeColor="accent1"/>
          <w:bottom w:val="single" w:sz="8" w:space="0" w:color="4F2D7F" w:themeColor="accent1"/>
          <w:right w:val="single" w:sz="8" w:space="0" w:color="4F2D7F" w:themeColor="accent1"/>
        </w:tcBorders>
      </w:tcPr>
    </w:tblStylePr>
  </w:style>
  <w:style w:type="table" w:styleId="LightList-Accent2">
    <w:name w:val="Light List Accent 2"/>
    <w:basedOn w:val="TableNormal"/>
    <w:uiPriority w:val="61"/>
    <w:rsid w:val="00DD5DC6"/>
    <w:tblPr>
      <w:tblStyleRowBandSize w:val="1"/>
      <w:tblStyleColBandSize w:val="1"/>
      <w:tblBorders>
        <w:top w:val="single" w:sz="8" w:space="0" w:color="C30045" w:themeColor="accent2"/>
        <w:left w:val="single" w:sz="8" w:space="0" w:color="C30045" w:themeColor="accent2"/>
        <w:bottom w:val="single" w:sz="8" w:space="0" w:color="C30045" w:themeColor="accent2"/>
        <w:right w:val="single" w:sz="8" w:space="0" w:color="C30045" w:themeColor="accent2"/>
      </w:tblBorders>
    </w:tblPr>
    <w:tblStylePr w:type="firstRow">
      <w:pPr>
        <w:spacing w:before="0" w:after="0" w:line="240" w:lineRule="auto"/>
      </w:pPr>
      <w:rPr>
        <w:b/>
        <w:bCs/>
        <w:color w:val="FFFFFF" w:themeColor="background1"/>
      </w:rPr>
      <w:tblPr/>
      <w:tcPr>
        <w:shd w:val="clear" w:color="auto" w:fill="C30045" w:themeFill="accent2"/>
      </w:tcPr>
    </w:tblStylePr>
    <w:tblStylePr w:type="lastRow">
      <w:pPr>
        <w:spacing w:before="0" w:after="0" w:line="240" w:lineRule="auto"/>
      </w:pPr>
      <w:rPr>
        <w:b/>
        <w:bCs/>
      </w:rPr>
      <w:tblPr/>
      <w:tcPr>
        <w:tcBorders>
          <w:top w:val="double" w:sz="6" w:space="0" w:color="C30045" w:themeColor="accent2"/>
          <w:left w:val="single" w:sz="8" w:space="0" w:color="C30045" w:themeColor="accent2"/>
          <w:bottom w:val="single" w:sz="8" w:space="0" w:color="C30045" w:themeColor="accent2"/>
          <w:right w:val="single" w:sz="8" w:space="0" w:color="C30045" w:themeColor="accent2"/>
        </w:tcBorders>
      </w:tcPr>
    </w:tblStylePr>
    <w:tblStylePr w:type="firstCol">
      <w:rPr>
        <w:b/>
        <w:bCs/>
      </w:rPr>
    </w:tblStylePr>
    <w:tblStylePr w:type="lastCol">
      <w:rPr>
        <w:b/>
        <w:bCs/>
      </w:rPr>
    </w:tblStylePr>
    <w:tblStylePr w:type="band1Vert">
      <w:tblPr/>
      <w:tcPr>
        <w:tcBorders>
          <w:top w:val="single" w:sz="8" w:space="0" w:color="C30045" w:themeColor="accent2"/>
          <w:left w:val="single" w:sz="8" w:space="0" w:color="C30045" w:themeColor="accent2"/>
          <w:bottom w:val="single" w:sz="8" w:space="0" w:color="C30045" w:themeColor="accent2"/>
          <w:right w:val="single" w:sz="8" w:space="0" w:color="C30045" w:themeColor="accent2"/>
        </w:tcBorders>
      </w:tcPr>
    </w:tblStylePr>
    <w:tblStylePr w:type="band1Horz">
      <w:tblPr/>
      <w:tcPr>
        <w:tcBorders>
          <w:top w:val="single" w:sz="8" w:space="0" w:color="C30045" w:themeColor="accent2"/>
          <w:left w:val="single" w:sz="8" w:space="0" w:color="C30045" w:themeColor="accent2"/>
          <w:bottom w:val="single" w:sz="8" w:space="0" w:color="C30045" w:themeColor="accent2"/>
          <w:right w:val="single" w:sz="8" w:space="0" w:color="C30045" w:themeColor="accent2"/>
        </w:tcBorders>
      </w:tcPr>
    </w:tblStylePr>
  </w:style>
  <w:style w:type="table" w:styleId="LightList-Accent3">
    <w:name w:val="Light List Accent 3"/>
    <w:basedOn w:val="TableNormal"/>
    <w:uiPriority w:val="61"/>
    <w:rsid w:val="00DD5DC6"/>
    <w:tblPr>
      <w:tblStyleRowBandSize w:val="1"/>
      <w:tblStyleColBandSize w:val="1"/>
      <w:tblBorders>
        <w:top w:val="single" w:sz="8" w:space="0" w:color="B1059D" w:themeColor="accent3"/>
        <w:left w:val="single" w:sz="8" w:space="0" w:color="B1059D" w:themeColor="accent3"/>
        <w:bottom w:val="single" w:sz="8" w:space="0" w:color="B1059D" w:themeColor="accent3"/>
        <w:right w:val="single" w:sz="8" w:space="0" w:color="B1059D" w:themeColor="accent3"/>
      </w:tblBorders>
    </w:tblPr>
    <w:tblStylePr w:type="firstRow">
      <w:pPr>
        <w:spacing w:before="0" w:after="0" w:line="240" w:lineRule="auto"/>
      </w:pPr>
      <w:rPr>
        <w:b/>
        <w:bCs/>
        <w:color w:val="FFFFFF" w:themeColor="background1"/>
      </w:rPr>
      <w:tblPr/>
      <w:tcPr>
        <w:shd w:val="clear" w:color="auto" w:fill="B1059D" w:themeFill="accent3"/>
      </w:tcPr>
    </w:tblStylePr>
    <w:tblStylePr w:type="lastRow">
      <w:pPr>
        <w:spacing w:before="0" w:after="0" w:line="240" w:lineRule="auto"/>
      </w:pPr>
      <w:rPr>
        <w:b/>
        <w:bCs/>
      </w:rPr>
      <w:tblPr/>
      <w:tcPr>
        <w:tcBorders>
          <w:top w:val="double" w:sz="6" w:space="0" w:color="B1059D" w:themeColor="accent3"/>
          <w:left w:val="single" w:sz="8" w:space="0" w:color="B1059D" w:themeColor="accent3"/>
          <w:bottom w:val="single" w:sz="8" w:space="0" w:color="B1059D" w:themeColor="accent3"/>
          <w:right w:val="single" w:sz="8" w:space="0" w:color="B1059D" w:themeColor="accent3"/>
        </w:tcBorders>
      </w:tcPr>
    </w:tblStylePr>
    <w:tblStylePr w:type="firstCol">
      <w:rPr>
        <w:b/>
        <w:bCs/>
      </w:rPr>
    </w:tblStylePr>
    <w:tblStylePr w:type="lastCol">
      <w:rPr>
        <w:b/>
        <w:bCs/>
      </w:rPr>
    </w:tblStylePr>
    <w:tblStylePr w:type="band1Vert">
      <w:tblPr/>
      <w:tcPr>
        <w:tcBorders>
          <w:top w:val="single" w:sz="8" w:space="0" w:color="B1059D" w:themeColor="accent3"/>
          <w:left w:val="single" w:sz="8" w:space="0" w:color="B1059D" w:themeColor="accent3"/>
          <w:bottom w:val="single" w:sz="8" w:space="0" w:color="B1059D" w:themeColor="accent3"/>
          <w:right w:val="single" w:sz="8" w:space="0" w:color="B1059D" w:themeColor="accent3"/>
        </w:tcBorders>
      </w:tcPr>
    </w:tblStylePr>
    <w:tblStylePr w:type="band1Horz">
      <w:tblPr/>
      <w:tcPr>
        <w:tcBorders>
          <w:top w:val="single" w:sz="8" w:space="0" w:color="B1059D" w:themeColor="accent3"/>
          <w:left w:val="single" w:sz="8" w:space="0" w:color="B1059D" w:themeColor="accent3"/>
          <w:bottom w:val="single" w:sz="8" w:space="0" w:color="B1059D" w:themeColor="accent3"/>
          <w:right w:val="single" w:sz="8" w:space="0" w:color="B1059D" w:themeColor="accent3"/>
        </w:tcBorders>
      </w:tcPr>
    </w:tblStylePr>
  </w:style>
  <w:style w:type="table" w:styleId="LightList-Accent4">
    <w:name w:val="Light List Accent 4"/>
    <w:basedOn w:val="TableNormal"/>
    <w:uiPriority w:val="61"/>
    <w:rsid w:val="00DD5DC6"/>
    <w:tblPr>
      <w:tblStyleRowBandSize w:val="1"/>
      <w:tblStyleColBandSize w:val="1"/>
      <w:tblBorders>
        <w:top w:val="single" w:sz="8" w:space="0" w:color="006D55" w:themeColor="accent4"/>
        <w:left w:val="single" w:sz="8" w:space="0" w:color="006D55" w:themeColor="accent4"/>
        <w:bottom w:val="single" w:sz="8" w:space="0" w:color="006D55" w:themeColor="accent4"/>
        <w:right w:val="single" w:sz="8" w:space="0" w:color="006D55" w:themeColor="accent4"/>
      </w:tblBorders>
    </w:tblPr>
    <w:tblStylePr w:type="firstRow">
      <w:pPr>
        <w:spacing w:before="0" w:after="0" w:line="240" w:lineRule="auto"/>
      </w:pPr>
      <w:rPr>
        <w:b/>
        <w:bCs/>
        <w:color w:val="FFFFFF" w:themeColor="background1"/>
      </w:rPr>
      <w:tblPr/>
      <w:tcPr>
        <w:shd w:val="clear" w:color="auto" w:fill="006D55" w:themeFill="accent4"/>
      </w:tcPr>
    </w:tblStylePr>
    <w:tblStylePr w:type="lastRow">
      <w:pPr>
        <w:spacing w:before="0" w:after="0" w:line="240" w:lineRule="auto"/>
      </w:pPr>
      <w:rPr>
        <w:b/>
        <w:bCs/>
      </w:rPr>
      <w:tblPr/>
      <w:tcPr>
        <w:tcBorders>
          <w:top w:val="double" w:sz="6" w:space="0" w:color="006D55" w:themeColor="accent4"/>
          <w:left w:val="single" w:sz="8" w:space="0" w:color="006D55" w:themeColor="accent4"/>
          <w:bottom w:val="single" w:sz="8" w:space="0" w:color="006D55" w:themeColor="accent4"/>
          <w:right w:val="single" w:sz="8" w:space="0" w:color="006D55" w:themeColor="accent4"/>
        </w:tcBorders>
      </w:tcPr>
    </w:tblStylePr>
    <w:tblStylePr w:type="firstCol">
      <w:rPr>
        <w:b/>
        <w:bCs/>
      </w:rPr>
    </w:tblStylePr>
    <w:tblStylePr w:type="lastCol">
      <w:rPr>
        <w:b/>
        <w:bCs/>
      </w:rPr>
    </w:tblStylePr>
    <w:tblStylePr w:type="band1Vert">
      <w:tblPr/>
      <w:tcPr>
        <w:tcBorders>
          <w:top w:val="single" w:sz="8" w:space="0" w:color="006D55" w:themeColor="accent4"/>
          <w:left w:val="single" w:sz="8" w:space="0" w:color="006D55" w:themeColor="accent4"/>
          <w:bottom w:val="single" w:sz="8" w:space="0" w:color="006D55" w:themeColor="accent4"/>
          <w:right w:val="single" w:sz="8" w:space="0" w:color="006D55" w:themeColor="accent4"/>
        </w:tcBorders>
      </w:tcPr>
    </w:tblStylePr>
    <w:tblStylePr w:type="band1Horz">
      <w:tblPr/>
      <w:tcPr>
        <w:tcBorders>
          <w:top w:val="single" w:sz="8" w:space="0" w:color="006D55" w:themeColor="accent4"/>
          <w:left w:val="single" w:sz="8" w:space="0" w:color="006D55" w:themeColor="accent4"/>
          <w:bottom w:val="single" w:sz="8" w:space="0" w:color="006D55" w:themeColor="accent4"/>
          <w:right w:val="single" w:sz="8" w:space="0" w:color="006D55" w:themeColor="accent4"/>
        </w:tcBorders>
      </w:tcPr>
    </w:tblStylePr>
  </w:style>
  <w:style w:type="table" w:styleId="LightList-Accent5">
    <w:name w:val="Light List Accent 5"/>
    <w:basedOn w:val="TableNormal"/>
    <w:uiPriority w:val="61"/>
    <w:rsid w:val="00DD5DC6"/>
    <w:tblPr>
      <w:tblStyleRowBandSize w:val="1"/>
      <w:tblStyleColBandSize w:val="1"/>
      <w:tblBorders>
        <w:top w:val="single" w:sz="8" w:space="0" w:color="7AB800" w:themeColor="accent5"/>
        <w:left w:val="single" w:sz="8" w:space="0" w:color="7AB800" w:themeColor="accent5"/>
        <w:bottom w:val="single" w:sz="8" w:space="0" w:color="7AB800" w:themeColor="accent5"/>
        <w:right w:val="single" w:sz="8" w:space="0" w:color="7AB800" w:themeColor="accent5"/>
      </w:tblBorders>
    </w:tblPr>
    <w:tblStylePr w:type="firstRow">
      <w:pPr>
        <w:spacing w:before="0" w:after="0" w:line="240" w:lineRule="auto"/>
      </w:pPr>
      <w:rPr>
        <w:b/>
        <w:bCs/>
        <w:color w:val="FFFFFF" w:themeColor="background1"/>
      </w:rPr>
      <w:tblPr/>
      <w:tcPr>
        <w:shd w:val="clear" w:color="auto" w:fill="7AB800" w:themeFill="accent5"/>
      </w:tcPr>
    </w:tblStylePr>
    <w:tblStylePr w:type="lastRow">
      <w:pPr>
        <w:spacing w:before="0" w:after="0" w:line="240" w:lineRule="auto"/>
      </w:pPr>
      <w:rPr>
        <w:b/>
        <w:bCs/>
      </w:rPr>
      <w:tblPr/>
      <w:tcPr>
        <w:tcBorders>
          <w:top w:val="double" w:sz="6" w:space="0" w:color="7AB800" w:themeColor="accent5"/>
          <w:left w:val="single" w:sz="8" w:space="0" w:color="7AB800" w:themeColor="accent5"/>
          <w:bottom w:val="single" w:sz="8" w:space="0" w:color="7AB800" w:themeColor="accent5"/>
          <w:right w:val="single" w:sz="8" w:space="0" w:color="7AB800" w:themeColor="accent5"/>
        </w:tcBorders>
      </w:tcPr>
    </w:tblStylePr>
    <w:tblStylePr w:type="firstCol">
      <w:rPr>
        <w:b/>
        <w:bCs/>
      </w:rPr>
    </w:tblStylePr>
    <w:tblStylePr w:type="lastCol">
      <w:rPr>
        <w:b/>
        <w:bCs/>
      </w:rPr>
    </w:tblStylePr>
    <w:tblStylePr w:type="band1Vert">
      <w:tblPr/>
      <w:tcPr>
        <w:tcBorders>
          <w:top w:val="single" w:sz="8" w:space="0" w:color="7AB800" w:themeColor="accent5"/>
          <w:left w:val="single" w:sz="8" w:space="0" w:color="7AB800" w:themeColor="accent5"/>
          <w:bottom w:val="single" w:sz="8" w:space="0" w:color="7AB800" w:themeColor="accent5"/>
          <w:right w:val="single" w:sz="8" w:space="0" w:color="7AB800" w:themeColor="accent5"/>
        </w:tcBorders>
      </w:tcPr>
    </w:tblStylePr>
    <w:tblStylePr w:type="band1Horz">
      <w:tblPr/>
      <w:tcPr>
        <w:tcBorders>
          <w:top w:val="single" w:sz="8" w:space="0" w:color="7AB800" w:themeColor="accent5"/>
          <w:left w:val="single" w:sz="8" w:space="0" w:color="7AB800" w:themeColor="accent5"/>
          <w:bottom w:val="single" w:sz="8" w:space="0" w:color="7AB800" w:themeColor="accent5"/>
          <w:right w:val="single" w:sz="8" w:space="0" w:color="7AB800" w:themeColor="accent5"/>
        </w:tcBorders>
      </w:tcPr>
    </w:tblStylePr>
  </w:style>
  <w:style w:type="table" w:styleId="LightList-Accent6">
    <w:name w:val="Light List Accent 6"/>
    <w:basedOn w:val="TableNormal"/>
    <w:uiPriority w:val="61"/>
    <w:rsid w:val="00DD5DC6"/>
    <w:tblPr>
      <w:tblStyleRowBandSize w:val="1"/>
      <w:tblStyleColBandSize w:val="1"/>
      <w:tblBorders>
        <w:top w:val="single" w:sz="8" w:space="0" w:color="FF7900" w:themeColor="accent6"/>
        <w:left w:val="single" w:sz="8" w:space="0" w:color="FF7900" w:themeColor="accent6"/>
        <w:bottom w:val="single" w:sz="8" w:space="0" w:color="FF7900" w:themeColor="accent6"/>
        <w:right w:val="single" w:sz="8" w:space="0" w:color="FF7900" w:themeColor="accent6"/>
      </w:tblBorders>
    </w:tblPr>
    <w:tblStylePr w:type="firstRow">
      <w:pPr>
        <w:spacing w:before="0" w:after="0" w:line="240" w:lineRule="auto"/>
      </w:pPr>
      <w:rPr>
        <w:b/>
        <w:bCs/>
        <w:color w:val="FFFFFF" w:themeColor="background1"/>
      </w:rPr>
      <w:tblPr/>
      <w:tcPr>
        <w:shd w:val="clear" w:color="auto" w:fill="FF7900" w:themeFill="accent6"/>
      </w:tcPr>
    </w:tblStylePr>
    <w:tblStylePr w:type="lastRow">
      <w:pPr>
        <w:spacing w:before="0" w:after="0" w:line="240" w:lineRule="auto"/>
      </w:pPr>
      <w:rPr>
        <w:b/>
        <w:bCs/>
      </w:rPr>
      <w:tblPr/>
      <w:tcPr>
        <w:tcBorders>
          <w:top w:val="double" w:sz="6" w:space="0" w:color="FF7900" w:themeColor="accent6"/>
          <w:left w:val="single" w:sz="8" w:space="0" w:color="FF7900" w:themeColor="accent6"/>
          <w:bottom w:val="single" w:sz="8" w:space="0" w:color="FF7900" w:themeColor="accent6"/>
          <w:right w:val="single" w:sz="8" w:space="0" w:color="FF7900" w:themeColor="accent6"/>
        </w:tcBorders>
      </w:tcPr>
    </w:tblStylePr>
    <w:tblStylePr w:type="firstCol">
      <w:rPr>
        <w:b/>
        <w:bCs/>
      </w:rPr>
    </w:tblStylePr>
    <w:tblStylePr w:type="lastCol">
      <w:rPr>
        <w:b/>
        <w:bCs/>
      </w:rPr>
    </w:tblStylePr>
    <w:tblStylePr w:type="band1Vert">
      <w:tblPr/>
      <w:tcPr>
        <w:tcBorders>
          <w:top w:val="single" w:sz="8" w:space="0" w:color="FF7900" w:themeColor="accent6"/>
          <w:left w:val="single" w:sz="8" w:space="0" w:color="FF7900" w:themeColor="accent6"/>
          <w:bottom w:val="single" w:sz="8" w:space="0" w:color="FF7900" w:themeColor="accent6"/>
          <w:right w:val="single" w:sz="8" w:space="0" w:color="FF7900" w:themeColor="accent6"/>
        </w:tcBorders>
      </w:tcPr>
    </w:tblStylePr>
    <w:tblStylePr w:type="band1Horz">
      <w:tblPr/>
      <w:tcPr>
        <w:tcBorders>
          <w:top w:val="single" w:sz="8" w:space="0" w:color="FF7900" w:themeColor="accent6"/>
          <w:left w:val="single" w:sz="8" w:space="0" w:color="FF7900" w:themeColor="accent6"/>
          <w:bottom w:val="single" w:sz="8" w:space="0" w:color="FF7900" w:themeColor="accent6"/>
          <w:right w:val="single" w:sz="8" w:space="0" w:color="FF7900" w:themeColor="accent6"/>
        </w:tcBorders>
      </w:tcPr>
    </w:tblStylePr>
  </w:style>
  <w:style w:type="table" w:styleId="LightShading">
    <w:name w:val="Light Shading"/>
    <w:basedOn w:val="TableNormal"/>
    <w:uiPriority w:val="60"/>
    <w:rsid w:val="00DD5DC6"/>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DD5DC6"/>
    <w:rPr>
      <w:color w:val="3A215E" w:themeColor="accent1" w:themeShade="BF"/>
    </w:rPr>
    <w:tblPr>
      <w:tblStyleRowBandSize w:val="1"/>
      <w:tblStyleColBandSize w:val="1"/>
      <w:tblBorders>
        <w:top w:val="single" w:sz="8" w:space="0" w:color="4F2D7F" w:themeColor="accent1"/>
        <w:bottom w:val="single" w:sz="8" w:space="0" w:color="4F2D7F" w:themeColor="accent1"/>
      </w:tblBorders>
    </w:tblPr>
    <w:tblStylePr w:type="firstRow">
      <w:pPr>
        <w:spacing w:before="0" w:after="0" w:line="240" w:lineRule="auto"/>
      </w:pPr>
      <w:rPr>
        <w:b/>
        <w:bCs/>
      </w:rPr>
      <w:tblPr/>
      <w:tcPr>
        <w:tcBorders>
          <w:top w:val="single" w:sz="8" w:space="0" w:color="4F2D7F" w:themeColor="accent1"/>
          <w:left w:val="nil"/>
          <w:bottom w:val="single" w:sz="8" w:space="0" w:color="4F2D7F" w:themeColor="accent1"/>
          <w:right w:val="nil"/>
          <w:insideH w:val="nil"/>
          <w:insideV w:val="nil"/>
        </w:tcBorders>
      </w:tcPr>
    </w:tblStylePr>
    <w:tblStylePr w:type="lastRow">
      <w:pPr>
        <w:spacing w:before="0" w:after="0" w:line="240" w:lineRule="auto"/>
      </w:pPr>
      <w:rPr>
        <w:b/>
        <w:bCs/>
      </w:rPr>
      <w:tblPr/>
      <w:tcPr>
        <w:tcBorders>
          <w:top w:val="single" w:sz="8" w:space="0" w:color="4F2D7F" w:themeColor="accent1"/>
          <w:left w:val="nil"/>
          <w:bottom w:val="single" w:sz="8" w:space="0" w:color="4F2D7F"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1C1E9" w:themeFill="accent1" w:themeFillTint="3F"/>
      </w:tcPr>
    </w:tblStylePr>
    <w:tblStylePr w:type="band1Horz">
      <w:tblPr/>
      <w:tcPr>
        <w:tcBorders>
          <w:left w:val="nil"/>
          <w:right w:val="nil"/>
          <w:insideH w:val="nil"/>
          <w:insideV w:val="nil"/>
        </w:tcBorders>
        <w:shd w:val="clear" w:color="auto" w:fill="D1C1E9" w:themeFill="accent1" w:themeFillTint="3F"/>
      </w:tcPr>
    </w:tblStylePr>
  </w:style>
  <w:style w:type="table" w:styleId="LightShading-Accent2">
    <w:name w:val="Light Shading Accent 2"/>
    <w:basedOn w:val="TableNormal"/>
    <w:uiPriority w:val="60"/>
    <w:rsid w:val="00DD5DC6"/>
    <w:rPr>
      <w:color w:val="920033" w:themeColor="accent2" w:themeShade="BF"/>
    </w:rPr>
    <w:tblPr>
      <w:tblStyleRowBandSize w:val="1"/>
      <w:tblStyleColBandSize w:val="1"/>
      <w:tblBorders>
        <w:top w:val="single" w:sz="8" w:space="0" w:color="C30045" w:themeColor="accent2"/>
        <w:bottom w:val="single" w:sz="8" w:space="0" w:color="C30045" w:themeColor="accent2"/>
      </w:tblBorders>
    </w:tblPr>
    <w:tblStylePr w:type="firstRow">
      <w:pPr>
        <w:spacing w:before="0" w:after="0" w:line="240" w:lineRule="auto"/>
      </w:pPr>
      <w:rPr>
        <w:b/>
        <w:bCs/>
      </w:rPr>
      <w:tblPr/>
      <w:tcPr>
        <w:tcBorders>
          <w:top w:val="single" w:sz="8" w:space="0" w:color="C30045" w:themeColor="accent2"/>
          <w:left w:val="nil"/>
          <w:bottom w:val="single" w:sz="8" w:space="0" w:color="C30045" w:themeColor="accent2"/>
          <w:right w:val="nil"/>
          <w:insideH w:val="nil"/>
          <w:insideV w:val="nil"/>
        </w:tcBorders>
      </w:tcPr>
    </w:tblStylePr>
    <w:tblStylePr w:type="lastRow">
      <w:pPr>
        <w:spacing w:before="0" w:after="0" w:line="240" w:lineRule="auto"/>
      </w:pPr>
      <w:rPr>
        <w:b/>
        <w:bCs/>
      </w:rPr>
      <w:tblPr/>
      <w:tcPr>
        <w:tcBorders>
          <w:top w:val="single" w:sz="8" w:space="0" w:color="C30045" w:themeColor="accent2"/>
          <w:left w:val="nil"/>
          <w:bottom w:val="single" w:sz="8" w:space="0" w:color="C30045"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1CC" w:themeFill="accent2" w:themeFillTint="3F"/>
      </w:tcPr>
    </w:tblStylePr>
    <w:tblStylePr w:type="band1Horz">
      <w:tblPr/>
      <w:tcPr>
        <w:tcBorders>
          <w:left w:val="nil"/>
          <w:right w:val="nil"/>
          <w:insideH w:val="nil"/>
          <w:insideV w:val="nil"/>
        </w:tcBorders>
        <w:shd w:val="clear" w:color="auto" w:fill="FFB1CC" w:themeFill="accent2" w:themeFillTint="3F"/>
      </w:tcPr>
    </w:tblStylePr>
  </w:style>
  <w:style w:type="table" w:styleId="LightShading-Accent3">
    <w:name w:val="Light Shading Accent 3"/>
    <w:basedOn w:val="TableNormal"/>
    <w:uiPriority w:val="60"/>
    <w:rsid w:val="00DD5DC6"/>
    <w:rPr>
      <w:color w:val="840375" w:themeColor="accent3" w:themeShade="BF"/>
    </w:rPr>
    <w:tblPr>
      <w:tblStyleRowBandSize w:val="1"/>
      <w:tblStyleColBandSize w:val="1"/>
      <w:tblBorders>
        <w:top w:val="single" w:sz="8" w:space="0" w:color="B1059D" w:themeColor="accent3"/>
        <w:bottom w:val="single" w:sz="8" w:space="0" w:color="B1059D" w:themeColor="accent3"/>
      </w:tblBorders>
    </w:tblPr>
    <w:tblStylePr w:type="firstRow">
      <w:pPr>
        <w:spacing w:before="0" w:after="0" w:line="240" w:lineRule="auto"/>
      </w:pPr>
      <w:rPr>
        <w:b/>
        <w:bCs/>
      </w:rPr>
      <w:tblPr/>
      <w:tcPr>
        <w:tcBorders>
          <w:top w:val="single" w:sz="8" w:space="0" w:color="B1059D" w:themeColor="accent3"/>
          <w:left w:val="nil"/>
          <w:bottom w:val="single" w:sz="8" w:space="0" w:color="B1059D" w:themeColor="accent3"/>
          <w:right w:val="nil"/>
          <w:insideH w:val="nil"/>
          <w:insideV w:val="nil"/>
        </w:tcBorders>
      </w:tcPr>
    </w:tblStylePr>
    <w:tblStylePr w:type="lastRow">
      <w:pPr>
        <w:spacing w:before="0" w:after="0" w:line="240" w:lineRule="auto"/>
      </w:pPr>
      <w:rPr>
        <w:b/>
        <w:bCs/>
      </w:rPr>
      <w:tblPr/>
      <w:tcPr>
        <w:tcBorders>
          <w:top w:val="single" w:sz="8" w:space="0" w:color="B1059D" w:themeColor="accent3"/>
          <w:left w:val="nil"/>
          <w:bottom w:val="single" w:sz="8" w:space="0" w:color="B1059D"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CAFF3" w:themeFill="accent3" w:themeFillTint="3F"/>
      </w:tcPr>
    </w:tblStylePr>
    <w:tblStylePr w:type="band1Horz">
      <w:tblPr/>
      <w:tcPr>
        <w:tcBorders>
          <w:left w:val="nil"/>
          <w:right w:val="nil"/>
          <w:insideH w:val="nil"/>
          <w:insideV w:val="nil"/>
        </w:tcBorders>
        <w:shd w:val="clear" w:color="auto" w:fill="FCAFF3" w:themeFill="accent3" w:themeFillTint="3F"/>
      </w:tcPr>
    </w:tblStylePr>
  </w:style>
  <w:style w:type="table" w:styleId="LightShading-Accent4">
    <w:name w:val="Light Shading Accent 4"/>
    <w:basedOn w:val="TableNormal"/>
    <w:uiPriority w:val="60"/>
    <w:rsid w:val="00DD5DC6"/>
    <w:rPr>
      <w:color w:val="00513F" w:themeColor="accent4" w:themeShade="BF"/>
    </w:rPr>
    <w:tblPr>
      <w:tblStyleRowBandSize w:val="1"/>
      <w:tblStyleColBandSize w:val="1"/>
      <w:tblBorders>
        <w:top w:val="single" w:sz="8" w:space="0" w:color="006D55" w:themeColor="accent4"/>
        <w:bottom w:val="single" w:sz="8" w:space="0" w:color="006D55" w:themeColor="accent4"/>
      </w:tblBorders>
    </w:tblPr>
    <w:tblStylePr w:type="firstRow">
      <w:pPr>
        <w:spacing w:before="0" w:after="0" w:line="240" w:lineRule="auto"/>
      </w:pPr>
      <w:rPr>
        <w:b/>
        <w:bCs/>
      </w:rPr>
      <w:tblPr/>
      <w:tcPr>
        <w:tcBorders>
          <w:top w:val="single" w:sz="8" w:space="0" w:color="006D55" w:themeColor="accent4"/>
          <w:left w:val="nil"/>
          <w:bottom w:val="single" w:sz="8" w:space="0" w:color="006D55" w:themeColor="accent4"/>
          <w:right w:val="nil"/>
          <w:insideH w:val="nil"/>
          <w:insideV w:val="nil"/>
        </w:tcBorders>
      </w:tcPr>
    </w:tblStylePr>
    <w:tblStylePr w:type="lastRow">
      <w:pPr>
        <w:spacing w:before="0" w:after="0" w:line="240" w:lineRule="auto"/>
      </w:pPr>
      <w:rPr>
        <w:b/>
        <w:bCs/>
      </w:rPr>
      <w:tblPr/>
      <w:tcPr>
        <w:tcBorders>
          <w:top w:val="single" w:sz="8" w:space="0" w:color="006D55" w:themeColor="accent4"/>
          <w:left w:val="nil"/>
          <w:bottom w:val="single" w:sz="8" w:space="0" w:color="006D5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BFFE8" w:themeFill="accent4" w:themeFillTint="3F"/>
      </w:tcPr>
    </w:tblStylePr>
    <w:tblStylePr w:type="band1Horz">
      <w:tblPr/>
      <w:tcPr>
        <w:tcBorders>
          <w:left w:val="nil"/>
          <w:right w:val="nil"/>
          <w:insideH w:val="nil"/>
          <w:insideV w:val="nil"/>
        </w:tcBorders>
        <w:shd w:val="clear" w:color="auto" w:fill="9BFFE8" w:themeFill="accent4" w:themeFillTint="3F"/>
      </w:tcPr>
    </w:tblStylePr>
  </w:style>
  <w:style w:type="table" w:styleId="LightShading-Accent5">
    <w:name w:val="Light Shading Accent 5"/>
    <w:basedOn w:val="TableNormal"/>
    <w:uiPriority w:val="60"/>
    <w:rsid w:val="00DD5DC6"/>
    <w:rPr>
      <w:color w:val="5B8900" w:themeColor="accent5" w:themeShade="BF"/>
    </w:rPr>
    <w:tblPr>
      <w:tblStyleRowBandSize w:val="1"/>
      <w:tblStyleColBandSize w:val="1"/>
      <w:tblBorders>
        <w:top w:val="single" w:sz="8" w:space="0" w:color="7AB800" w:themeColor="accent5"/>
        <w:bottom w:val="single" w:sz="8" w:space="0" w:color="7AB800" w:themeColor="accent5"/>
      </w:tblBorders>
    </w:tblPr>
    <w:tblStylePr w:type="firstRow">
      <w:pPr>
        <w:spacing w:before="0" w:after="0" w:line="240" w:lineRule="auto"/>
      </w:pPr>
      <w:rPr>
        <w:b/>
        <w:bCs/>
      </w:rPr>
      <w:tblPr/>
      <w:tcPr>
        <w:tcBorders>
          <w:top w:val="single" w:sz="8" w:space="0" w:color="7AB800" w:themeColor="accent5"/>
          <w:left w:val="nil"/>
          <w:bottom w:val="single" w:sz="8" w:space="0" w:color="7AB800" w:themeColor="accent5"/>
          <w:right w:val="nil"/>
          <w:insideH w:val="nil"/>
          <w:insideV w:val="nil"/>
        </w:tcBorders>
      </w:tcPr>
    </w:tblStylePr>
    <w:tblStylePr w:type="lastRow">
      <w:pPr>
        <w:spacing w:before="0" w:after="0" w:line="240" w:lineRule="auto"/>
      </w:pPr>
      <w:rPr>
        <w:b/>
        <w:bCs/>
      </w:rPr>
      <w:tblPr/>
      <w:tcPr>
        <w:tcBorders>
          <w:top w:val="single" w:sz="8" w:space="0" w:color="7AB800" w:themeColor="accent5"/>
          <w:left w:val="nil"/>
          <w:bottom w:val="single" w:sz="8" w:space="0" w:color="7AB80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3FFAE" w:themeFill="accent5" w:themeFillTint="3F"/>
      </w:tcPr>
    </w:tblStylePr>
    <w:tblStylePr w:type="band1Horz">
      <w:tblPr/>
      <w:tcPr>
        <w:tcBorders>
          <w:left w:val="nil"/>
          <w:right w:val="nil"/>
          <w:insideH w:val="nil"/>
          <w:insideV w:val="nil"/>
        </w:tcBorders>
        <w:shd w:val="clear" w:color="auto" w:fill="E3FFAE" w:themeFill="accent5" w:themeFillTint="3F"/>
      </w:tcPr>
    </w:tblStylePr>
  </w:style>
  <w:style w:type="table" w:styleId="LightShading-Accent6">
    <w:name w:val="Light Shading Accent 6"/>
    <w:basedOn w:val="TableNormal"/>
    <w:uiPriority w:val="60"/>
    <w:rsid w:val="00DD5DC6"/>
    <w:rPr>
      <w:color w:val="BF5A00" w:themeColor="accent6" w:themeShade="BF"/>
    </w:rPr>
    <w:tblPr>
      <w:tblStyleRowBandSize w:val="1"/>
      <w:tblStyleColBandSize w:val="1"/>
      <w:tblBorders>
        <w:top w:val="single" w:sz="8" w:space="0" w:color="FF7900" w:themeColor="accent6"/>
        <w:bottom w:val="single" w:sz="8" w:space="0" w:color="FF7900" w:themeColor="accent6"/>
      </w:tblBorders>
    </w:tblPr>
    <w:tblStylePr w:type="firstRow">
      <w:pPr>
        <w:spacing w:before="0" w:after="0" w:line="240" w:lineRule="auto"/>
      </w:pPr>
      <w:rPr>
        <w:b/>
        <w:bCs/>
      </w:rPr>
      <w:tblPr/>
      <w:tcPr>
        <w:tcBorders>
          <w:top w:val="single" w:sz="8" w:space="0" w:color="FF7900" w:themeColor="accent6"/>
          <w:left w:val="nil"/>
          <w:bottom w:val="single" w:sz="8" w:space="0" w:color="FF7900" w:themeColor="accent6"/>
          <w:right w:val="nil"/>
          <w:insideH w:val="nil"/>
          <w:insideV w:val="nil"/>
        </w:tcBorders>
      </w:tcPr>
    </w:tblStylePr>
    <w:tblStylePr w:type="lastRow">
      <w:pPr>
        <w:spacing w:before="0" w:after="0" w:line="240" w:lineRule="auto"/>
      </w:pPr>
      <w:rPr>
        <w:b/>
        <w:bCs/>
      </w:rPr>
      <w:tblPr/>
      <w:tcPr>
        <w:tcBorders>
          <w:top w:val="single" w:sz="8" w:space="0" w:color="FF7900" w:themeColor="accent6"/>
          <w:left w:val="nil"/>
          <w:bottom w:val="single" w:sz="8" w:space="0" w:color="FF790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DDC0" w:themeFill="accent6" w:themeFillTint="3F"/>
      </w:tcPr>
    </w:tblStylePr>
    <w:tblStylePr w:type="band1Horz">
      <w:tblPr/>
      <w:tcPr>
        <w:tcBorders>
          <w:left w:val="nil"/>
          <w:right w:val="nil"/>
          <w:insideH w:val="nil"/>
          <w:insideV w:val="nil"/>
        </w:tcBorders>
        <w:shd w:val="clear" w:color="auto" w:fill="FFDDC0" w:themeFill="accent6" w:themeFillTint="3F"/>
      </w:tcPr>
    </w:tblStylePr>
  </w:style>
  <w:style w:type="character" w:styleId="LineNumber">
    <w:name w:val="line number"/>
    <w:basedOn w:val="DefaultParagraphFont"/>
    <w:rsid w:val="00DD5DC6"/>
    <w:rPr>
      <w:lang w:val="en-US"/>
    </w:rPr>
  </w:style>
  <w:style w:type="paragraph" w:styleId="List">
    <w:name w:val="List"/>
    <w:basedOn w:val="Normal"/>
    <w:rsid w:val="00DD5DC6"/>
    <w:pPr>
      <w:ind w:left="360" w:hanging="360"/>
      <w:contextualSpacing/>
    </w:pPr>
  </w:style>
  <w:style w:type="paragraph" w:styleId="List2">
    <w:name w:val="List 2"/>
    <w:basedOn w:val="Normal"/>
    <w:rsid w:val="00DD5DC6"/>
    <w:pPr>
      <w:ind w:left="720" w:hanging="360"/>
      <w:contextualSpacing/>
    </w:pPr>
  </w:style>
  <w:style w:type="paragraph" w:styleId="List3">
    <w:name w:val="List 3"/>
    <w:basedOn w:val="Normal"/>
    <w:rsid w:val="00DD5DC6"/>
    <w:pPr>
      <w:ind w:left="1080" w:hanging="360"/>
      <w:contextualSpacing/>
    </w:pPr>
  </w:style>
  <w:style w:type="paragraph" w:styleId="List4">
    <w:name w:val="List 4"/>
    <w:basedOn w:val="Normal"/>
    <w:rsid w:val="00DD5DC6"/>
    <w:pPr>
      <w:ind w:left="1440" w:hanging="360"/>
      <w:contextualSpacing/>
    </w:pPr>
  </w:style>
  <w:style w:type="paragraph" w:styleId="List5">
    <w:name w:val="List 5"/>
    <w:basedOn w:val="Normal"/>
    <w:rsid w:val="00DD5DC6"/>
    <w:pPr>
      <w:ind w:left="1800" w:hanging="360"/>
      <w:contextualSpacing/>
    </w:pPr>
  </w:style>
  <w:style w:type="paragraph" w:styleId="ListBullet3">
    <w:name w:val="List Bullet 3"/>
    <w:basedOn w:val="Normal"/>
    <w:rsid w:val="00DD5DC6"/>
    <w:pPr>
      <w:numPr>
        <w:numId w:val="4"/>
      </w:numPr>
      <w:contextualSpacing/>
    </w:pPr>
  </w:style>
  <w:style w:type="paragraph" w:styleId="ListBullet4">
    <w:name w:val="List Bullet 4"/>
    <w:basedOn w:val="Normal"/>
    <w:rsid w:val="00DD5DC6"/>
    <w:pPr>
      <w:numPr>
        <w:numId w:val="22"/>
      </w:numPr>
      <w:contextualSpacing/>
    </w:pPr>
  </w:style>
  <w:style w:type="paragraph" w:styleId="ListBullet5">
    <w:name w:val="List Bullet 5"/>
    <w:basedOn w:val="Normal"/>
    <w:rsid w:val="00DD5DC6"/>
    <w:pPr>
      <w:numPr>
        <w:numId w:val="23"/>
      </w:numPr>
      <w:contextualSpacing/>
    </w:pPr>
  </w:style>
  <w:style w:type="paragraph" w:styleId="ListContinue">
    <w:name w:val="List Continue"/>
    <w:basedOn w:val="Normal"/>
    <w:rsid w:val="00DD5DC6"/>
    <w:pPr>
      <w:spacing w:after="120"/>
      <w:ind w:left="360"/>
      <w:contextualSpacing/>
    </w:pPr>
  </w:style>
  <w:style w:type="paragraph" w:styleId="ListContinue2">
    <w:name w:val="List Continue 2"/>
    <w:basedOn w:val="Normal"/>
    <w:rsid w:val="00DD5DC6"/>
    <w:pPr>
      <w:spacing w:after="120"/>
      <w:ind w:left="720"/>
      <w:contextualSpacing/>
    </w:pPr>
  </w:style>
  <w:style w:type="paragraph" w:styleId="ListContinue3">
    <w:name w:val="List Continue 3"/>
    <w:basedOn w:val="Normal"/>
    <w:rsid w:val="00DD5DC6"/>
    <w:pPr>
      <w:spacing w:after="120"/>
      <w:ind w:left="1080"/>
      <w:contextualSpacing/>
    </w:pPr>
  </w:style>
  <w:style w:type="paragraph" w:styleId="ListContinue4">
    <w:name w:val="List Continue 4"/>
    <w:basedOn w:val="Normal"/>
    <w:rsid w:val="00DD5DC6"/>
    <w:pPr>
      <w:spacing w:after="120"/>
      <w:ind w:left="1440"/>
      <w:contextualSpacing/>
    </w:pPr>
  </w:style>
  <w:style w:type="paragraph" w:styleId="ListContinue5">
    <w:name w:val="List Continue 5"/>
    <w:basedOn w:val="Normal"/>
    <w:rsid w:val="00DD5DC6"/>
    <w:pPr>
      <w:spacing w:after="120"/>
      <w:ind w:left="1800"/>
      <w:contextualSpacing/>
    </w:pPr>
  </w:style>
  <w:style w:type="paragraph" w:styleId="ListNumber4">
    <w:name w:val="List Number 4"/>
    <w:basedOn w:val="Normal"/>
    <w:rsid w:val="00DD5DC6"/>
    <w:pPr>
      <w:numPr>
        <w:numId w:val="25"/>
      </w:numPr>
      <w:contextualSpacing/>
    </w:pPr>
  </w:style>
  <w:style w:type="paragraph" w:styleId="ListNumber5">
    <w:name w:val="List Number 5"/>
    <w:basedOn w:val="Normal"/>
    <w:rsid w:val="00DD5DC6"/>
    <w:pPr>
      <w:numPr>
        <w:numId w:val="26"/>
      </w:numPr>
      <w:contextualSpacing/>
    </w:pPr>
  </w:style>
  <w:style w:type="paragraph" w:styleId="ListParagraph">
    <w:name w:val="List Paragraph"/>
    <w:basedOn w:val="Normal"/>
    <w:uiPriority w:val="34"/>
    <w:qFormat/>
    <w:rsid w:val="00DD5DC6"/>
    <w:pPr>
      <w:ind w:left="720"/>
      <w:contextualSpacing/>
    </w:pPr>
  </w:style>
  <w:style w:type="table" w:styleId="MediumGrid1">
    <w:name w:val="Medium Grid 1"/>
    <w:basedOn w:val="TableNormal"/>
    <w:uiPriority w:val="67"/>
    <w:rsid w:val="00DD5DC6"/>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DD5DC6"/>
    <w:tblPr>
      <w:tblStyleRowBandSize w:val="1"/>
      <w:tblStyleColBandSize w:val="1"/>
      <w:tblBorders>
        <w:top w:val="single" w:sz="8" w:space="0" w:color="7543BC" w:themeColor="accent1" w:themeTint="BF"/>
        <w:left w:val="single" w:sz="8" w:space="0" w:color="7543BC" w:themeColor="accent1" w:themeTint="BF"/>
        <w:bottom w:val="single" w:sz="8" w:space="0" w:color="7543BC" w:themeColor="accent1" w:themeTint="BF"/>
        <w:right w:val="single" w:sz="8" w:space="0" w:color="7543BC" w:themeColor="accent1" w:themeTint="BF"/>
        <w:insideH w:val="single" w:sz="8" w:space="0" w:color="7543BC" w:themeColor="accent1" w:themeTint="BF"/>
        <w:insideV w:val="single" w:sz="8" w:space="0" w:color="7543BC" w:themeColor="accent1" w:themeTint="BF"/>
      </w:tblBorders>
    </w:tblPr>
    <w:tcPr>
      <w:shd w:val="clear" w:color="auto" w:fill="D1C1E9" w:themeFill="accent1" w:themeFillTint="3F"/>
    </w:tcPr>
    <w:tblStylePr w:type="firstRow">
      <w:rPr>
        <w:b/>
        <w:bCs/>
      </w:rPr>
    </w:tblStylePr>
    <w:tblStylePr w:type="lastRow">
      <w:rPr>
        <w:b/>
        <w:bCs/>
      </w:rPr>
      <w:tblPr/>
      <w:tcPr>
        <w:tcBorders>
          <w:top w:val="single" w:sz="18" w:space="0" w:color="7543BC" w:themeColor="accent1" w:themeTint="BF"/>
        </w:tcBorders>
      </w:tcPr>
    </w:tblStylePr>
    <w:tblStylePr w:type="firstCol">
      <w:rPr>
        <w:b/>
        <w:bCs/>
      </w:rPr>
    </w:tblStylePr>
    <w:tblStylePr w:type="lastCol">
      <w:rPr>
        <w:b/>
        <w:bCs/>
      </w:rPr>
    </w:tblStylePr>
    <w:tblStylePr w:type="band1Vert">
      <w:tblPr/>
      <w:tcPr>
        <w:shd w:val="clear" w:color="auto" w:fill="A382D3" w:themeFill="accent1" w:themeFillTint="7F"/>
      </w:tcPr>
    </w:tblStylePr>
    <w:tblStylePr w:type="band1Horz">
      <w:tblPr/>
      <w:tcPr>
        <w:shd w:val="clear" w:color="auto" w:fill="A382D3" w:themeFill="accent1" w:themeFillTint="7F"/>
      </w:tcPr>
    </w:tblStylePr>
  </w:style>
  <w:style w:type="table" w:styleId="MediumGrid1-Accent2">
    <w:name w:val="Medium Grid 1 Accent 2"/>
    <w:basedOn w:val="TableNormal"/>
    <w:uiPriority w:val="67"/>
    <w:rsid w:val="00DD5DC6"/>
    <w:tblPr>
      <w:tblStyleRowBandSize w:val="1"/>
      <w:tblStyleColBandSize w:val="1"/>
      <w:tblBorders>
        <w:top w:val="single" w:sz="8" w:space="0" w:color="FF1366" w:themeColor="accent2" w:themeTint="BF"/>
        <w:left w:val="single" w:sz="8" w:space="0" w:color="FF1366" w:themeColor="accent2" w:themeTint="BF"/>
        <w:bottom w:val="single" w:sz="8" w:space="0" w:color="FF1366" w:themeColor="accent2" w:themeTint="BF"/>
        <w:right w:val="single" w:sz="8" w:space="0" w:color="FF1366" w:themeColor="accent2" w:themeTint="BF"/>
        <w:insideH w:val="single" w:sz="8" w:space="0" w:color="FF1366" w:themeColor="accent2" w:themeTint="BF"/>
        <w:insideV w:val="single" w:sz="8" w:space="0" w:color="FF1366" w:themeColor="accent2" w:themeTint="BF"/>
      </w:tblBorders>
    </w:tblPr>
    <w:tcPr>
      <w:shd w:val="clear" w:color="auto" w:fill="FFB1CC" w:themeFill="accent2" w:themeFillTint="3F"/>
    </w:tcPr>
    <w:tblStylePr w:type="firstRow">
      <w:rPr>
        <w:b/>
        <w:bCs/>
      </w:rPr>
    </w:tblStylePr>
    <w:tblStylePr w:type="lastRow">
      <w:rPr>
        <w:b/>
        <w:bCs/>
      </w:rPr>
      <w:tblPr/>
      <w:tcPr>
        <w:tcBorders>
          <w:top w:val="single" w:sz="18" w:space="0" w:color="FF1366" w:themeColor="accent2" w:themeTint="BF"/>
        </w:tcBorders>
      </w:tcPr>
    </w:tblStylePr>
    <w:tblStylePr w:type="firstCol">
      <w:rPr>
        <w:b/>
        <w:bCs/>
      </w:rPr>
    </w:tblStylePr>
    <w:tblStylePr w:type="lastCol">
      <w:rPr>
        <w:b/>
        <w:bCs/>
      </w:rPr>
    </w:tblStylePr>
    <w:tblStylePr w:type="band1Vert">
      <w:tblPr/>
      <w:tcPr>
        <w:shd w:val="clear" w:color="auto" w:fill="FF6299" w:themeFill="accent2" w:themeFillTint="7F"/>
      </w:tcPr>
    </w:tblStylePr>
    <w:tblStylePr w:type="band1Horz">
      <w:tblPr/>
      <w:tcPr>
        <w:shd w:val="clear" w:color="auto" w:fill="FF6299" w:themeFill="accent2" w:themeFillTint="7F"/>
      </w:tcPr>
    </w:tblStylePr>
  </w:style>
  <w:style w:type="table" w:styleId="MediumGrid1-Accent3">
    <w:name w:val="Medium Grid 1 Accent 3"/>
    <w:basedOn w:val="TableNormal"/>
    <w:uiPriority w:val="67"/>
    <w:rsid w:val="00DD5DC6"/>
    <w:tblPr>
      <w:tblStyleRowBandSize w:val="1"/>
      <w:tblStyleColBandSize w:val="1"/>
      <w:tblBorders>
        <w:top w:val="single" w:sz="8" w:space="0" w:color="F80FDC" w:themeColor="accent3" w:themeTint="BF"/>
        <w:left w:val="single" w:sz="8" w:space="0" w:color="F80FDC" w:themeColor="accent3" w:themeTint="BF"/>
        <w:bottom w:val="single" w:sz="8" w:space="0" w:color="F80FDC" w:themeColor="accent3" w:themeTint="BF"/>
        <w:right w:val="single" w:sz="8" w:space="0" w:color="F80FDC" w:themeColor="accent3" w:themeTint="BF"/>
        <w:insideH w:val="single" w:sz="8" w:space="0" w:color="F80FDC" w:themeColor="accent3" w:themeTint="BF"/>
        <w:insideV w:val="single" w:sz="8" w:space="0" w:color="F80FDC" w:themeColor="accent3" w:themeTint="BF"/>
      </w:tblBorders>
    </w:tblPr>
    <w:tcPr>
      <w:shd w:val="clear" w:color="auto" w:fill="FCAFF3" w:themeFill="accent3" w:themeFillTint="3F"/>
    </w:tcPr>
    <w:tblStylePr w:type="firstRow">
      <w:rPr>
        <w:b/>
        <w:bCs/>
      </w:rPr>
    </w:tblStylePr>
    <w:tblStylePr w:type="lastRow">
      <w:rPr>
        <w:b/>
        <w:bCs/>
      </w:rPr>
      <w:tblPr/>
      <w:tcPr>
        <w:tcBorders>
          <w:top w:val="single" w:sz="18" w:space="0" w:color="F80FDC" w:themeColor="accent3" w:themeTint="BF"/>
        </w:tcBorders>
      </w:tcPr>
    </w:tblStylePr>
    <w:tblStylePr w:type="firstCol">
      <w:rPr>
        <w:b/>
        <w:bCs/>
      </w:rPr>
    </w:tblStylePr>
    <w:tblStylePr w:type="lastCol">
      <w:rPr>
        <w:b/>
        <w:bCs/>
      </w:rPr>
    </w:tblStylePr>
    <w:tblStylePr w:type="band1Vert">
      <w:tblPr/>
      <w:tcPr>
        <w:shd w:val="clear" w:color="auto" w:fill="FA5FE8" w:themeFill="accent3" w:themeFillTint="7F"/>
      </w:tcPr>
    </w:tblStylePr>
    <w:tblStylePr w:type="band1Horz">
      <w:tblPr/>
      <w:tcPr>
        <w:shd w:val="clear" w:color="auto" w:fill="FA5FE8" w:themeFill="accent3" w:themeFillTint="7F"/>
      </w:tcPr>
    </w:tblStylePr>
  </w:style>
  <w:style w:type="table" w:styleId="MediumGrid1-Accent4">
    <w:name w:val="Medium Grid 1 Accent 4"/>
    <w:basedOn w:val="TableNormal"/>
    <w:uiPriority w:val="67"/>
    <w:rsid w:val="00DD5DC6"/>
    <w:tblPr>
      <w:tblStyleRowBandSize w:val="1"/>
      <w:tblStyleColBandSize w:val="1"/>
      <w:tblBorders>
        <w:top w:val="single" w:sz="8" w:space="0" w:color="00D1A2" w:themeColor="accent4" w:themeTint="BF"/>
        <w:left w:val="single" w:sz="8" w:space="0" w:color="00D1A2" w:themeColor="accent4" w:themeTint="BF"/>
        <w:bottom w:val="single" w:sz="8" w:space="0" w:color="00D1A2" w:themeColor="accent4" w:themeTint="BF"/>
        <w:right w:val="single" w:sz="8" w:space="0" w:color="00D1A2" w:themeColor="accent4" w:themeTint="BF"/>
        <w:insideH w:val="single" w:sz="8" w:space="0" w:color="00D1A2" w:themeColor="accent4" w:themeTint="BF"/>
        <w:insideV w:val="single" w:sz="8" w:space="0" w:color="00D1A2" w:themeColor="accent4" w:themeTint="BF"/>
      </w:tblBorders>
    </w:tblPr>
    <w:tcPr>
      <w:shd w:val="clear" w:color="auto" w:fill="9BFFE8" w:themeFill="accent4" w:themeFillTint="3F"/>
    </w:tcPr>
    <w:tblStylePr w:type="firstRow">
      <w:rPr>
        <w:b/>
        <w:bCs/>
      </w:rPr>
    </w:tblStylePr>
    <w:tblStylePr w:type="lastRow">
      <w:rPr>
        <w:b/>
        <w:bCs/>
      </w:rPr>
      <w:tblPr/>
      <w:tcPr>
        <w:tcBorders>
          <w:top w:val="single" w:sz="18" w:space="0" w:color="00D1A2" w:themeColor="accent4" w:themeTint="BF"/>
        </w:tcBorders>
      </w:tcPr>
    </w:tblStylePr>
    <w:tblStylePr w:type="firstCol">
      <w:rPr>
        <w:b/>
        <w:bCs/>
      </w:rPr>
    </w:tblStylePr>
    <w:tblStylePr w:type="lastCol">
      <w:rPr>
        <w:b/>
        <w:bCs/>
      </w:rPr>
    </w:tblStylePr>
    <w:tblStylePr w:type="band1Vert">
      <w:tblPr/>
      <w:tcPr>
        <w:shd w:val="clear" w:color="auto" w:fill="37FFD2" w:themeFill="accent4" w:themeFillTint="7F"/>
      </w:tcPr>
    </w:tblStylePr>
    <w:tblStylePr w:type="band1Horz">
      <w:tblPr/>
      <w:tcPr>
        <w:shd w:val="clear" w:color="auto" w:fill="37FFD2" w:themeFill="accent4" w:themeFillTint="7F"/>
      </w:tcPr>
    </w:tblStylePr>
  </w:style>
  <w:style w:type="table" w:styleId="MediumGrid1-Accent5">
    <w:name w:val="Medium Grid 1 Accent 5"/>
    <w:basedOn w:val="TableNormal"/>
    <w:uiPriority w:val="67"/>
    <w:rsid w:val="00DD5DC6"/>
    <w:tblPr>
      <w:tblStyleRowBandSize w:val="1"/>
      <w:tblStyleColBandSize w:val="1"/>
      <w:tblBorders>
        <w:top w:val="single" w:sz="8" w:space="0" w:color="ACFF0A" w:themeColor="accent5" w:themeTint="BF"/>
        <w:left w:val="single" w:sz="8" w:space="0" w:color="ACFF0A" w:themeColor="accent5" w:themeTint="BF"/>
        <w:bottom w:val="single" w:sz="8" w:space="0" w:color="ACFF0A" w:themeColor="accent5" w:themeTint="BF"/>
        <w:right w:val="single" w:sz="8" w:space="0" w:color="ACFF0A" w:themeColor="accent5" w:themeTint="BF"/>
        <w:insideH w:val="single" w:sz="8" w:space="0" w:color="ACFF0A" w:themeColor="accent5" w:themeTint="BF"/>
        <w:insideV w:val="single" w:sz="8" w:space="0" w:color="ACFF0A" w:themeColor="accent5" w:themeTint="BF"/>
      </w:tblBorders>
    </w:tblPr>
    <w:tcPr>
      <w:shd w:val="clear" w:color="auto" w:fill="E3FFAE" w:themeFill="accent5" w:themeFillTint="3F"/>
    </w:tcPr>
    <w:tblStylePr w:type="firstRow">
      <w:rPr>
        <w:b/>
        <w:bCs/>
      </w:rPr>
    </w:tblStylePr>
    <w:tblStylePr w:type="lastRow">
      <w:rPr>
        <w:b/>
        <w:bCs/>
      </w:rPr>
      <w:tblPr/>
      <w:tcPr>
        <w:tcBorders>
          <w:top w:val="single" w:sz="18" w:space="0" w:color="ACFF0A" w:themeColor="accent5" w:themeTint="BF"/>
        </w:tcBorders>
      </w:tcPr>
    </w:tblStylePr>
    <w:tblStylePr w:type="firstCol">
      <w:rPr>
        <w:b/>
        <w:bCs/>
      </w:rPr>
    </w:tblStylePr>
    <w:tblStylePr w:type="lastCol">
      <w:rPr>
        <w:b/>
        <w:bCs/>
      </w:rPr>
    </w:tblStylePr>
    <w:tblStylePr w:type="band1Vert">
      <w:tblPr/>
      <w:tcPr>
        <w:shd w:val="clear" w:color="auto" w:fill="C8FF5C" w:themeFill="accent5" w:themeFillTint="7F"/>
      </w:tcPr>
    </w:tblStylePr>
    <w:tblStylePr w:type="band1Horz">
      <w:tblPr/>
      <w:tcPr>
        <w:shd w:val="clear" w:color="auto" w:fill="C8FF5C" w:themeFill="accent5" w:themeFillTint="7F"/>
      </w:tcPr>
    </w:tblStylePr>
  </w:style>
  <w:style w:type="table" w:styleId="MediumGrid1-Accent6">
    <w:name w:val="Medium Grid 1 Accent 6"/>
    <w:basedOn w:val="TableNormal"/>
    <w:uiPriority w:val="67"/>
    <w:rsid w:val="00DD5DC6"/>
    <w:tblPr>
      <w:tblStyleRowBandSize w:val="1"/>
      <w:tblStyleColBandSize w:val="1"/>
      <w:tblBorders>
        <w:top w:val="single" w:sz="8" w:space="0" w:color="FF9A40" w:themeColor="accent6" w:themeTint="BF"/>
        <w:left w:val="single" w:sz="8" w:space="0" w:color="FF9A40" w:themeColor="accent6" w:themeTint="BF"/>
        <w:bottom w:val="single" w:sz="8" w:space="0" w:color="FF9A40" w:themeColor="accent6" w:themeTint="BF"/>
        <w:right w:val="single" w:sz="8" w:space="0" w:color="FF9A40" w:themeColor="accent6" w:themeTint="BF"/>
        <w:insideH w:val="single" w:sz="8" w:space="0" w:color="FF9A40" w:themeColor="accent6" w:themeTint="BF"/>
        <w:insideV w:val="single" w:sz="8" w:space="0" w:color="FF9A40" w:themeColor="accent6" w:themeTint="BF"/>
      </w:tblBorders>
    </w:tblPr>
    <w:tcPr>
      <w:shd w:val="clear" w:color="auto" w:fill="FFDDC0" w:themeFill="accent6" w:themeFillTint="3F"/>
    </w:tcPr>
    <w:tblStylePr w:type="firstRow">
      <w:rPr>
        <w:b/>
        <w:bCs/>
      </w:rPr>
    </w:tblStylePr>
    <w:tblStylePr w:type="lastRow">
      <w:rPr>
        <w:b/>
        <w:bCs/>
      </w:rPr>
      <w:tblPr/>
      <w:tcPr>
        <w:tcBorders>
          <w:top w:val="single" w:sz="18" w:space="0" w:color="FF9A40" w:themeColor="accent6" w:themeTint="BF"/>
        </w:tcBorders>
      </w:tcPr>
    </w:tblStylePr>
    <w:tblStylePr w:type="firstCol">
      <w:rPr>
        <w:b/>
        <w:bCs/>
      </w:rPr>
    </w:tblStylePr>
    <w:tblStylePr w:type="lastCol">
      <w:rPr>
        <w:b/>
        <w:bCs/>
      </w:rPr>
    </w:tblStylePr>
    <w:tblStylePr w:type="band1Vert">
      <w:tblPr/>
      <w:tcPr>
        <w:shd w:val="clear" w:color="auto" w:fill="FFBC80" w:themeFill="accent6" w:themeFillTint="7F"/>
      </w:tcPr>
    </w:tblStylePr>
    <w:tblStylePr w:type="band1Horz">
      <w:tblPr/>
      <w:tcPr>
        <w:shd w:val="clear" w:color="auto" w:fill="FFBC80" w:themeFill="accent6" w:themeFillTint="7F"/>
      </w:tcPr>
    </w:tblStylePr>
  </w:style>
  <w:style w:type="table" w:styleId="MediumGrid2">
    <w:name w:val="Medium Grid 2"/>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4F2D7F" w:themeColor="accent1"/>
        <w:left w:val="single" w:sz="8" w:space="0" w:color="4F2D7F" w:themeColor="accent1"/>
        <w:bottom w:val="single" w:sz="8" w:space="0" w:color="4F2D7F" w:themeColor="accent1"/>
        <w:right w:val="single" w:sz="8" w:space="0" w:color="4F2D7F" w:themeColor="accent1"/>
        <w:insideH w:val="single" w:sz="8" w:space="0" w:color="4F2D7F" w:themeColor="accent1"/>
        <w:insideV w:val="single" w:sz="8" w:space="0" w:color="4F2D7F" w:themeColor="accent1"/>
      </w:tblBorders>
    </w:tblPr>
    <w:tcPr>
      <w:shd w:val="clear" w:color="auto" w:fill="D1C1E9" w:themeFill="accent1" w:themeFillTint="3F"/>
    </w:tcPr>
    <w:tblStylePr w:type="firstRow">
      <w:rPr>
        <w:b/>
        <w:bCs/>
        <w:color w:val="000000" w:themeColor="text1"/>
      </w:rPr>
      <w:tblPr/>
      <w:tcPr>
        <w:shd w:val="clear" w:color="auto" w:fill="ECE6F6"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CDED" w:themeFill="accent1" w:themeFillTint="33"/>
      </w:tcPr>
    </w:tblStylePr>
    <w:tblStylePr w:type="band1Vert">
      <w:tblPr/>
      <w:tcPr>
        <w:shd w:val="clear" w:color="auto" w:fill="A382D3" w:themeFill="accent1" w:themeFillTint="7F"/>
      </w:tcPr>
    </w:tblStylePr>
    <w:tblStylePr w:type="band1Horz">
      <w:tblPr/>
      <w:tcPr>
        <w:tcBorders>
          <w:insideH w:val="single" w:sz="6" w:space="0" w:color="4F2D7F" w:themeColor="accent1"/>
          <w:insideV w:val="single" w:sz="6" w:space="0" w:color="4F2D7F" w:themeColor="accent1"/>
        </w:tcBorders>
        <w:shd w:val="clear" w:color="auto" w:fill="A382D3"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C30045" w:themeColor="accent2"/>
        <w:left w:val="single" w:sz="8" w:space="0" w:color="C30045" w:themeColor="accent2"/>
        <w:bottom w:val="single" w:sz="8" w:space="0" w:color="C30045" w:themeColor="accent2"/>
        <w:right w:val="single" w:sz="8" w:space="0" w:color="C30045" w:themeColor="accent2"/>
        <w:insideH w:val="single" w:sz="8" w:space="0" w:color="C30045" w:themeColor="accent2"/>
        <w:insideV w:val="single" w:sz="8" w:space="0" w:color="C30045" w:themeColor="accent2"/>
      </w:tblBorders>
    </w:tblPr>
    <w:tcPr>
      <w:shd w:val="clear" w:color="auto" w:fill="FFB1CC" w:themeFill="accent2" w:themeFillTint="3F"/>
    </w:tcPr>
    <w:tblStylePr w:type="firstRow">
      <w:rPr>
        <w:b/>
        <w:bCs/>
        <w:color w:val="000000" w:themeColor="text1"/>
      </w:rPr>
      <w:tblPr/>
      <w:tcPr>
        <w:shd w:val="clear" w:color="auto" w:fill="FFE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0D6" w:themeFill="accent2" w:themeFillTint="33"/>
      </w:tcPr>
    </w:tblStylePr>
    <w:tblStylePr w:type="band1Vert">
      <w:tblPr/>
      <w:tcPr>
        <w:shd w:val="clear" w:color="auto" w:fill="FF6299" w:themeFill="accent2" w:themeFillTint="7F"/>
      </w:tcPr>
    </w:tblStylePr>
    <w:tblStylePr w:type="band1Horz">
      <w:tblPr/>
      <w:tcPr>
        <w:tcBorders>
          <w:insideH w:val="single" w:sz="6" w:space="0" w:color="C30045" w:themeColor="accent2"/>
          <w:insideV w:val="single" w:sz="6" w:space="0" w:color="C30045" w:themeColor="accent2"/>
        </w:tcBorders>
        <w:shd w:val="clear" w:color="auto" w:fill="FF6299"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B1059D" w:themeColor="accent3"/>
        <w:left w:val="single" w:sz="8" w:space="0" w:color="B1059D" w:themeColor="accent3"/>
        <w:bottom w:val="single" w:sz="8" w:space="0" w:color="B1059D" w:themeColor="accent3"/>
        <w:right w:val="single" w:sz="8" w:space="0" w:color="B1059D" w:themeColor="accent3"/>
        <w:insideH w:val="single" w:sz="8" w:space="0" w:color="B1059D" w:themeColor="accent3"/>
        <w:insideV w:val="single" w:sz="8" w:space="0" w:color="B1059D" w:themeColor="accent3"/>
      </w:tblBorders>
    </w:tblPr>
    <w:tcPr>
      <w:shd w:val="clear" w:color="auto" w:fill="FCAFF3" w:themeFill="accent3" w:themeFillTint="3F"/>
    </w:tcPr>
    <w:tblStylePr w:type="firstRow">
      <w:rPr>
        <w:b/>
        <w:bCs/>
        <w:color w:val="000000" w:themeColor="text1"/>
      </w:rPr>
      <w:tblPr/>
      <w:tcPr>
        <w:shd w:val="clear" w:color="auto" w:fill="FEDFFA"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BFF6" w:themeFill="accent3" w:themeFillTint="33"/>
      </w:tcPr>
    </w:tblStylePr>
    <w:tblStylePr w:type="band1Vert">
      <w:tblPr/>
      <w:tcPr>
        <w:shd w:val="clear" w:color="auto" w:fill="FA5FE8" w:themeFill="accent3" w:themeFillTint="7F"/>
      </w:tcPr>
    </w:tblStylePr>
    <w:tblStylePr w:type="band1Horz">
      <w:tblPr/>
      <w:tcPr>
        <w:tcBorders>
          <w:insideH w:val="single" w:sz="6" w:space="0" w:color="B1059D" w:themeColor="accent3"/>
          <w:insideV w:val="single" w:sz="6" w:space="0" w:color="B1059D" w:themeColor="accent3"/>
        </w:tcBorders>
        <w:shd w:val="clear" w:color="auto" w:fill="FA5FE8"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006D55" w:themeColor="accent4"/>
        <w:left w:val="single" w:sz="8" w:space="0" w:color="006D55" w:themeColor="accent4"/>
        <w:bottom w:val="single" w:sz="8" w:space="0" w:color="006D55" w:themeColor="accent4"/>
        <w:right w:val="single" w:sz="8" w:space="0" w:color="006D55" w:themeColor="accent4"/>
        <w:insideH w:val="single" w:sz="8" w:space="0" w:color="006D55" w:themeColor="accent4"/>
        <w:insideV w:val="single" w:sz="8" w:space="0" w:color="006D55" w:themeColor="accent4"/>
      </w:tblBorders>
    </w:tblPr>
    <w:tcPr>
      <w:shd w:val="clear" w:color="auto" w:fill="9BFFE8" w:themeFill="accent4" w:themeFillTint="3F"/>
    </w:tcPr>
    <w:tblStylePr w:type="firstRow">
      <w:rPr>
        <w:b/>
        <w:bCs/>
        <w:color w:val="000000" w:themeColor="text1"/>
      </w:rPr>
      <w:tblPr/>
      <w:tcPr>
        <w:shd w:val="clear" w:color="auto" w:fill="D7F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EFFED" w:themeFill="accent4" w:themeFillTint="33"/>
      </w:tcPr>
    </w:tblStylePr>
    <w:tblStylePr w:type="band1Vert">
      <w:tblPr/>
      <w:tcPr>
        <w:shd w:val="clear" w:color="auto" w:fill="37FFD2" w:themeFill="accent4" w:themeFillTint="7F"/>
      </w:tcPr>
    </w:tblStylePr>
    <w:tblStylePr w:type="band1Horz">
      <w:tblPr/>
      <w:tcPr>
        <w:tcBorders>
          <w:insideH w:val="single" w:sz="6" w:space="0" w:color="006D55" w:themeColor="accent4"/>
          <w:insideV w:val="single" w:sz="6" w:space="0" w:color="006D55" w:themeColor="accent4"/>
        </w:tcBorders>
        <w:shd w:val="clear" w:color="auto" w:fill="37FFD2"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7AB800" w:themeColor="accent5"/>
        <w:left w:val="single" w:sz="8" w:space="0" w:color="7AB800" w:themeColor="accent5"/>
        <w:bottom w:val="single" w:sz="8" w:space="0" w:color="7AB800" w:themeColor="accent5"/>
        <w:right w:val="single" w:sz="8" w:space="0" w:color="7AB800" w:themeColor="accent5"/>
        <w:insideH w:val="single" w:sz="8" w:space="0" w:color="7AB800" w:themeColor="accent5"/>
        <w:insideV w:val="single" w:sz="8" w:space="0" w:color="7AB800" w:themeColor="accent5"/>
      </w:tblBorders>
    </w:tblPr>
    <w:tcPr>
      <w:shd w:val="clear" w:color="auto" w:fill="E3FFAE" w:themeFill="accent5" w:themeFillTint="3F"/>
    </w:tcPr>
    <w:tblStylePr w:type="firstRow">
      <w:rPr>
        <w:b/>
        <w:bCs/>
        <w:color w:val="000000" w:themeColor="text1"/>
      </w:rPr>
      <w:tblPr/>
      <w:tcPr>
        <w:shd w:val="clear" w:color="auto" w:fill="F4FFD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8FFBD" w:themeFill="accent5" w:themeFillTint="33"/>
      </w:tcPr>
    </w:tblStylePr>
    <w:tblStylePr w:type="band1Vert">
      <w:tblPr/>
      <w:tcPr>
        <w:shd w:val="clear" w:color="auto" w:fill="C8FF5C" w:themeFill="accent5" w:themeFillTint="7F"/>
      </w:tcPr>
    </w:tblStylePr>
    <w:tblStylePr w:type="band1Horz">
      <w:tblPr/>
      <w:tcPr>
        <w:tcBorders>
          <w:insideH w:val="single" w:sz="6" w:space="0" w:color="7AB800" w:themeColor="accent5"/>
          <w:insideV w:val="single" w:sz="6" w:space="0" w:color="7AB800" w:themeColor="accent5"/>
        </w:tcBorders>
        <w:shd w:val="clear" w:color="auto" w:fill="C8FF5C"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FF7900" w:themeColor="accent6"/>
        <w:left w:val="single" w:sz="8" w:space="0" w:color="FF7900" w:themeColor="accent6"/>
        <w:bottom w:val="single" w:sz="8" w:space="0" w:color="FF7900" w:themeColor="accent6"/>
        <w:right w:val="single" w:sz="8" w:space="0" w:color="FF7900" w:themeColor="accent6"/>
        <w:insideH w:val="single" w:sz="8" w:space="0" w:color="FF7900" w:themeColor="accent6"/>
        <w:insideV w:val="single" w:sz="8" w:space="0" w:color="FF7900" w:themeColor="accent6"/>
      </w:tblBorders>
    </w:tblPr>
    <w:tcPr>
      <w:shd w:val="clear" w:color="auto" w:fill="FFDDC0" w:themeFill="accent6" w:themeFillTint="3F"/>
    </w:tcPr>
    <w:tblStylePr w:type="firstRow">
      <w:rPr>
        <w:b/>
        <w:bCs/>
        <w:color w:val="000000" w:themeColor="text1"/>
      </w:rPr>
      <w:tblPr/>
      <w:tcPr>
        <w:shd w:val="clear" w:color="auto" w:fill="FFF1E6"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E4CC" w:themeFill="accent6" w:themeFillTint="33"/>
      </w:tcPr>
    </w:tblStylePr>
    <w:tblStylePr w:type="band1Vert">
      <w:tblPr/>
      <w:tcPr>
        <w:shd w:val="clear" w:color="auto" w:fill="FFBC80" w:themeFill="accent6" w:themeFillTint="7F"/>
      </w:tcPr>
    </w:tblStylePr>
    <w:tblStylePr w:type="band1Horz">
      <w:tblPr/>
      <w:tcPr>
        <w:tcBorders>
          <w:insideH w:val="single" w:sz="6" w:space="0" w:color="FF7900" w:themeColor="accent6"/>
          <w:insideV w:val="single" w:sz="6" w:space="0" w:color="FF7900" w:themeColor="accent6"/>
        </w:tcBorders>
        <w:shd w:val="clear" w:color="auto" w:fill="FFBC8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1C1E9"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2D7F"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2D7F"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2D7F"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2D7F"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382D3"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382D3" w:themeFill="accent1" w:themeFillTint="7F"/>
      </w:tcPr>
    </w:tblStylePr>
  </w:style>
  <w:style w:type="table" w:styleId="MediumGrid3-Accent2">
    <w:name w:val="Medium Grid 3 Accent 2"/>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1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30045"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30045"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30045"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30045"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299"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299" w:themeFill="accent2" w:themeFillTint="7F"/>
      </w:tcPr>
    </w:tblStylePr>
  </w:style>
  <w:style w:type="table" w:styleId="MediumGrid3-Accent3">
    <w:name w:val="Medium Grid 3 Accent 3"/>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CAFF3"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1059D"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1059D"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1059D"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1059D"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A5FE8"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A5FE8" w:themeFill="accent3" w:themeFillTint="7F"/>
      </w:tcPr>
    </w:tblStylePr>
  </w:style>
  <w:style w:type="table" w:styleId="MediumGrid3-Accent4">
    <w:name w:val="Medium Grid 3 Accent 4"/>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BFF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6D5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6D5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6D5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6D5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7FFD2"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7FFD2" w:themeFill="accent4" w:themeFillTint="7F"/>
      </w:tcPr>
    </w:tblStylePr>
  </w:style>
  <w:style w:type="table" w:styleId="MediumGrid3-Accent5">
    <w:name w:val="Medium Grid 3 Accent 5"/>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3FFAE"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AB80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AB80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AB80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AB80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8FF5C"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8FF5C" w:themeFill="accent5" w:themeFillTint="7F"/>
      </w:tcPr>
    </w:tblStylePr>
  </w:style>
  <w:style w:type="table" w:styleId="MediumGrid3-Accent6">
    <w:name w:val="Medium Grid 3 Accent 6"/>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DDC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790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790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790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790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BC8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BC80" w:themeFill="accent6" w:themeFillTint="7F"/>
      </w:tcPr>
    </w:tblStylePr>
  </w:style>
  <w:style w:type="table" w:styleId="MediumList1">
    <w:name w:val="Medium List 1"/>
    <w:basedOn w:val="TableNormal"/>
    <w:uiPriority w:val="65"/>
    <w:rsid w:val="00DD5DC6"/>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824B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DD5DC6"/>
    <w:rPr>
      <w:color w:val="000000" w:themeColor="text1"/>
    </w:rPr>
    <w:tblPr>
      <w:tblStyleRowBandSize w:val="1"/>
      <w:tblStyleColBandSize w:val="1"/>
      <w:tblBorders>
        <w:top w:val="single" w:sz="8" w:space="0" w:color="4F2D7F" w:themeColor="accent1"/>
        <w:bottom w:val="single" w:sz="8" w:space="0" w:color="4F2D7F" w:themeColor="accent1"/>
      </w:tblBorders>
    </w:tblPr>
    <w:tblStylePr w:type="firstRow">
      <w:rPr>
        <w:rFonts w:asciiTheme="majorHAnsi" w:eastAsiaTheme="majorEastAsia" w:hAnsiTheme="majorHAnsi" w:cstheme="majorBidi"/>
      </w:rPr>
      <w:tblPr/>
      <w:tcPr>
        <w:tcBorders>
          <w:top w:val="nil"/>
          <w:bottom w:val="single" w:sz="8" w:space="0" w:color="4F2D7F" w:themeColor="accent1"/>
        </w:tcBorders>
      </w:tcPr>
    </w:tblStylePr>
    <w:tblStylePr w:type="lastRow">
      <w:rPr>
        <w:b/>
        <w:bCs/>
        <w:color w:val="824BB0" w:themeColor="text2"/>
      </w:rPr>
      <w:tblPr/>
      <w:tcPr>
        <w:tcBorders>
          <w:top w:val="single" w:sz="8" w:space="0" w:color="4F2D7F" w:themeColor="accent1"/>
          <w:bottom w:val="single" w:sz="8" w:space="0" w:color="4F2D7F" w:themeColor="accent1"/>
        </w:tcBorders>
      </w:tcPr>
    </w:tblStylePr>
    <w:tblStylePr w:type="firstCol">
      <w:rPr>
        <w:b/>
        <w:bCs/>
      </w:rPr>
    </w:tblStylePr>
    <w:tblStylePr w:type="lastCol">
      <w:rPr>
        <w:b/>
        <w:bCs/>
      </w:rPr>
      <w:tblPr/>
      <w:tcPr>
        <w:tcBorders>
          <w:top w:val="single" w:sz="8" w:space="0" w:color="4F2D7F" w:themeColor="accent1"/>
          <w:bottom w:val="single" w:sz="8" w:space="0" w:color="4F2D7F" w:themeColor="accent1"/>
        </w:tcBorders>
      </w:tcPr>
    </w:tblStylePr>
    <w:tblStylePr w:type="band1Vert">
      <w:tblPr/>
      <w:tcPr>
        <w:shd w:val="clear" w:color="auto" w:fill="D1C1E9" w:themeFill="accent1" w:themeFillTint="3F"/>
      </w:tcPr>
    </w:tblStylePr>
    <w:tblStylePr w:type="band1Horz">
      <w:tblPr/>
      <w:tcPr>
        <w:shd w:val="clear" w:color="auto" w:fill="D1C1E9" w:themeFill="accent1" w:themeFillTint="3F"/>
      </w:tcPr>
    </w:tblStylePr>
  </w:style>
  <w:style w:type="table" w:styleId="MediumList1-Accent2">
    <w:name w:val="Medium List 1 Accent 2"/>
    <w:basedOn w:val="TableNormal"/>
    <w:uiPriority w:val="65"/>
    <w:rsid w:val="00DD5DC6"/>
    <w:rPr>
      <w:color w:val="000000" w:themeColor="text1"/>
    </w:rPr>
    <w:tblPr>
      <w:tblStyleRowBandSize w:val="1"/>
      <w:tblStyleColBandSize w:val="1"/>
      <w:tblBorders>
        <w:top w:val="single" w:sz="8" w:space="0" w:color="C30045" w:themeColor="accent2"/>
        <w:bottom w:val="single" w:sz="8" w:space="0" w:color="C30045" w:themeColor="accent2"/>
      </w:tblBorders>
    </w:tblPr>
    <w:tblStylePr w:type="firstRow">
      <w:rPr>
        <w:rFonts w:asciiTheme="majorHAnsi" w:eastAsiaTheme="majorEastAsia" w:hAnsiTheme="majorHAnsi" w:cstheme="majorBidi"/>
      </w:rPr>
      <w:tblPr/>
      <w:tcPr>
        <w:tcBorders>
          <w:top w:val="nil"/>
          <w:bottom w:val="single" w:sz="8" w:space="0" w:color="C30045" w:themeColor="accent2"/>
        </w:tcBorders>
      </w:tcPr>
    </w:tblStylePr>
    <w:tblStylePr w:type="lastRow">
      <w:rPr>
        <w:b/>
        <w:bCs/>
        <w:color w:val="824BB0" w:themeColor="text2"/>
      </w:rPr>
      <w:tblPr/>
      <w:tcPr>
        <w:tcBorders>
          <w:top w:val="single" w:sz="8" w:space="0" w:color="C30045" w:themeColor="accent2"/>
          <w:bottom w:val="single" w:sz="8" w:space="0" w:color="C30045" w:themeColor="accent2"/>
        </w:tcBorders>
      </w:tcPr>
    </w:tblStylePr>
    <w:tblStylePr w:type="firstCol">
      <w:rPr>
        <w:b/>
        <w:bCs/>
      </w:rPr>
    </w:tblStylePr>
    <w:tblStylePr w:type="lastCol">
      <w:rPr>
        <w:b/>
        <w:bCs/>
      </w:rPr>
      <w:tblPr/>
      <w:tcPr>
        <w:tcBorders>
          <w:top w:val="single" w:sz="8" w:space="0" w:color="C30045" w:themeColor="accent2"/>
          <w:bottom w:val="single" w:sz="8" w:space="0" w:color="C30045" w:themeColor="accent2"/>
        </w:tcBorders>
      </w:tcPr>
    </w:tblStylePr>
    <w:tblStylePr w:type="band1Vert">
      <w:tblPr/>
      <w:tcPr>
        <w:shd w:val="clear" w:color="auto" w:fill="FFB1CC" w:themeFill="accent2" w:themeFillTint="3F"/>
      </w:tcPr>
    </w:tblStylePr>
    <w:tblStylePr w:type="band1Horz">
      <w:tblPr/>
      <w:tcPr>
        <w:shd w:val="clear" w:color="auto" w:fill="FFB1CC" w:themeFill="accent2" w:themeFillTint="3F"/>
      </w:tcPr>
    </w:tblStylePr>
  </w:style>
  <w:style w:type="table" w:styleId="MediumList1-Accent3">
    <w:name w:val="Medium List 1 Accent 3"/>
    <w:basedOn w:val="TableNormal"/>
    <w:uiPriority w:val="65"/>
    <w:rsid w:val="00DD5DC6"/>
    <w:rPr>
      <w:color w:val="000000" w:themeColor="text1"/>
    </w:rPr>
    <w:tblPr>
      <w:tblStyleRowBandSize w:val="1"/>
      <w:tblStyleColBandSize w:val="1"/>
      <w:tblBorders>
        <w:top w:val="single" w:sz="8" w:space="0" w:color="B1059D" w:themeColor="accent3"/>
        <w:bottom w:val="single" w:sz="8" w:space="0" w:color="B1059D" w:themeColor="accent3"/>
      </w:tblBorders>
    </w:tblPr>
    <w:tblStylePr w:type="firstRow">
      <w:rPr>
        <w:rFonts w:asciiTheme="majorHAnsi" w:eastAsiaTheme="majorEastAsia" w:hAnsiTheme="majorHAnsi" w:cstheme="majorBidi"/>
      </w:rPr>
      <w:tblPr/>
      <w:tcPr>
        <w:tcBorders>
          <w:top w:val="nil"/>
          <w:bottom w:val="single" w:sz="8" w:space="0" w:color="B1059D" w:themeColor="accent3"/>
        </w:tcBorders>
      </w:tcPr>
    </w:tblStylePr>
    <w:tblStylePr w:type="lastRow">
      <w:rPr>
        <w:b/>
        <w:bCs/>
        <w:color w:val="824BB0" w:themeColor="text2"/>
      </w:rPr>
      <w:tblPr/>
      <w:tcPr>
        <w:tcBorders>
          <w:top w:val="single" w:sz="8" w:space="0" w:color="B1059D" w:themeColor="accent3"/>
          <w:bottom w:val="single" w:sz="8" w:space="0" w:color="B1059D" w:themeColor="accent3"/>
        </w:tcBorders>
      </w:tcPr>
    </w:tblStylePr>
    <w:tblStylePr w:type="firstCol">
      <w:rPr>
        <w:b/>
        <w:bCs/>
      </w:rPr>
    </w:tblStylePr>
    <w:tblStylePr w:type="lastCol">
      <w:rPr>
        <w:b/>
        <w:bCs/>
      </w:rPr>
      <w:tblPr/>
      <w:tcPr>
        <w:tcBorders>
          <w:top w:val="single" w:sz="8" w:space="0" w:color="B1059D" w:themeColor="accent3"/>
          <w:bottom w:val="single" w:sz="8" w:space="0" w:color="B1059D" w:themeColor="accent3"/>
        </w:tcBorders>
      </w:tcPr>
    </w:tblStylePr>
    <w:tblStylePr w:type="band1Vert">
      <w:tblPr/>
      <w:tcPr>
        <w:shd w:val="clear" w:color="auto" w:fill="FCAFF3" w:themeFill="accent3" w:themeFillTint="3F"/>
      </w:tcPr>
    </w:tblStylePr>
    <w:tblStylePr w:type="band1Horz">
      <w:tblPr/>
      <w:tcPr>
        <w:shd w:val="clear" w:color="auto" w:fill="FCAFF3" w:themeFill="accent3" w:themeFillTint="3F"/>
      </w:tcPr>
    </w:tblStylePr>
  </w:style>
  <w:style w:type="table" w:styleId="MediumList1-Accent4">
    <w:name w:val="Medium List 1 Accent 4"/>
    <w:basedOn w:val="TableNormal"/>
    <w:uiPriority w:val="65"/>
    <w:rsid w:val="00DD5DC6"/>
    <w:rPr>
      <w:color w:val="000000" w:themeColor="text1"/>
    </w:rPr>
    <w:tblPr>
      <w:tblStyleRowBandSize w:val="1"/>
      <w:tblStyleColBandSize w:val="1"/>
      <w:tblBorders>
        <w:top w:val="single" w:sz="8" w:space="0" w:color="006D55" w:themeColor="accent4"/>
        <w:bottom w:val="single" w:sz="8" w:space="0" w:color="006D55" w:themeColor="accent4"/>
      </w:tblBorders>
    </w:tblPr>
    <w:tblStylePr w:type="firstRow">
      <w:rPr>
        <w:rFonts w:asciiTheme="majorHAnsi" w:eastAsiaTheme="majorEastAsia" w:hAnsiTheme="majorHAnsi" w:cstheme="majorBidi"/>
      </w:rPr>
      <w:tblPr/>
      <w:tcPr>
        <w:tcBorders>
          <w:top w:val="nil"/>
          <w:bottom w:val="single" w:sz="8" w:space="0" w:color="006D55" w:themeColor="accent4"/>
        </w:tcBorders>
      </w:tcPr>
    </w:tblStylePr>
    <w:tblStylePr w:type="lastRow">
      <w:rPr>
        <w:b/>
        <w:bCs/>
        <w:color w:val="824BB0" w:themeColor="text2"/>
      </w:rPr>
      <w:tblPr/>
      <w:tcPr>
        <w:tcBorders>
          <w:top w:val="single" w:sz="8" w:space="0" w:color="006D55" w:themeColor="accent4"/>
          <w:bottom w:val="single" w:sz="8" w:space="0" w:color="006D55" w:themeColor="accent4"/>
        </w:tcBorders>
      </w:tcPr>
    </w:tblStylePr>
    <w:tblStylePr w:type="firstCol">
      <w:rPr>
        <w:b/>
        <w:bCs/>
      </w:rPr>
    </w:tblStylePr>
    <w:tblStylePr w:type="lastCol">
      <w:rPr>
        <w:b/>
        <w:bCs/>
      </w:rPr>
      <w:tblPr/>
      <w:tcPr>
        <w:tcBorders>
          <w:top w:val="single" w:sz="8" w:space="0" w:color="006D55" w:themeColor="accent4"/>
          <w:bottom w:val="single" w:sz="8" w:space="0" w:color="006D55" w:themeColor="accent4"/>
        </w:tcBorders>
      </w:tcPr>
    </w:tblStylePr>
    <w:tblStylePr w:type="band1Vert">
      <w:tblPr/>
      <w:tcPr>
        <w:shd w:val="clear" w:color="auto" w:fill="9BFFE8" w:themeFill="accent4" w:themeFillTint="3F"/>
      </w:tcPr>
    </w:tblStylePr>
    <w:tblStylePr w:type="band1Horz">
      <w:tblPr/>
      <w:tcPr>
        <w:shd w:val="clear" w:color="auto" w:fill="9BFFE8" w:themeFill="accent4" w:themeFillTint="3F"/>
      </w:tcPr>
    </w:tblStylePr>
  </w:style>
  <w:style w:type="table" w:styleId="MediumList1-Accent5">
    <w:name w:val="Medium List 1 Accent 5"/>
    <w:basedOn w:val="TableNormal"/>
    <w:uiPriority w:val="65"/>
    <w:rsid w:val="00DD5DC6"/>
    <w:rPr>
      <w:color w:val="000000" w:themeColor="text1"/>
    </w:rPr>
    <w:tblPr>
      <w:tblStyleRowBandSize w:val="1"/>
      <w:tblStyleColBandSize w:val="1"/>
      <w:tblBorders>
        <w:top w:val="single" w:sz="8" w:space="0" w:color="7AB800" w:themeColor="accent5"/>
        <w:bottom w:val="single" w:sz="8" w:space="0" w:color="7AB800" w:themeColor="accent5"/>
      </w:tblBorders>
    </w:tblPr>
    <w:tblStylePr w:type="firstRow">
      <w:rPr>
        <w:rFonts w:asciiTheme="majorHAnsi" w:eastAsiaTheme="majorEastAsia" w:hAnsiTheme="majorHAnsi" w:cstheme="majorBidi"/>
      </w:rPr>
      <w:tblPr/>
      <w:tcPr>
        <w:tcBorders>
          <w:top w:val="nil"/>
          <w:bottom w:val="single" w:sz="8" w:space="0" w:color="7AB800" w:themeColor="accent5"/>
        </w:tcBorders>
      </w:tcPr>
    </w:tblStylePr>
    <w:tblStylePr w:type="lastRow">
      <w:rPr>
        <w:b/>
        <w:bCs/>
        <w:color w:val="824BB0" w:themeColor="text2"/>
      </w:rPr>
      <w:tblPr/>
      <w:tcPr>
        <w:tcBorders>
          <w:top w:val="single" w:sz="8" w:space="0" w:color="7AB800" w:themeColor="accent5"/>
          <w:bottom w:val="single" w:sz="8" w:space="0" w:color="7AB800" w:themeColor="accent5"/>
        </w:tcBorders>
      </w:tcPr>
    </w:tblStylePr>
    <w:tblStylePr w:type="firstCol">
      <w:rPr>
        <w:b/>
        <w:bCs/>
      </w:rPr>
    </w:tblStylePr>
    <w:tblStylePr w:type="lastCol">
      <w:rPr>
        <w:b/>
        <w:bCs/>
      </w:rPr>
      <w:tblPr/>
      <w:tcPr>
        <w:tcBorders>
          <w:top w:val="single" w:sz="8" w:space="0" w:color="7AB800" w:themeColor="accent5"/>
          <w:bottom w:val="single" w:sz="8" w:space="0" w:color="7AB800" w:themeColor="accent5"/>
        </w:tcBorders>
      </w:tcPr>
    </w:tblStylePr>
    <w:tblStylePr w:type="band1Vert">
      <w:tblPr/>
      <w:tcPr>
        <w:shd w:val="clear" w:color="auto" w:fill="E3FFAE" w:themeFill="accent5" w:themeFillTint="3F"/>
      </w:tcPr>
    </w:tblStylePr>
    <w:tblStylePr w:type="band1Horz">
      <w:tblPr/>
      <w:tcPr>
        <w:shd w:val="clear" w:color="auto" w:fill="E3FFAE" w:themeFill="accent5" w:themeFillTint="3F"/>
      </w:tcPr>
    </w:tblStylePr>
  </w:style>
  <w:style w:type="table" w:styleId="MediumList1-Accent6">
    <w:name w:val="Medium List 1 Accent 6"/>
    <w:basedOn w:val="TableNormal"/>
    <w:uiPriority w:val="65"/>
    <w:rsid w:val="00DD5DC6"/>
    <w:rPr>
      <w:color w:val="000000" w:themeColor="text1"/>
    </w:rPr>
    <w:tblPr>
      <w:tblStyleRowBandSize w:val="1"/>
      <w:tblStyleColBandSize w:val="1"/>
      <w:tblBorders>
        <w:top w:val="single" w:sz="8" w:space="0" w:color="FF7900" w:themeColor="accent6"/>
        <w:bottom w:val="single" w:sz="8" w:space="0" w:color="FF7900" w:themeColor="accent6"/>
      </w:tblBorders>
    </w:tblPr>
    <w:tblStylePr w:type="firstRow">
      <w:rPr>
        <w:rFonts w:asciiTheme="majorHAnsi" w:eastAsiaTheme="majorEastAsia" w:hAnsiTheme="majorHAnsi" w:cstheme="majorBidi"/>
      </w:rPr>
      <w:tblPr/>
      <w:tcPr>
        <w:tcBorders>
          <w:top w:val="nil"/>
          <w:bottom w:val="single" w:sz="8" w:space="0" w:color="FF7900" w:themeColor="accent6"/>
        </w:tcBorders>
      </w:tcPr>
    </w:tblStylePr>
    <w:tblStylePr w:type="lastRow">
      <w:rPr>
        <w:b/>
        <w:bCs/>
        <w:color w:val="824BB0" w:themeColor="text2"/>
      </w:rPr>
      <w:tblPr/>
      <w:tcPr>
        <w:tcBorders>
          <w:top w:val="single" w:sz="8" w:space="0" w:color="FF7900" w:themeColor="accent6"/>
          <w:bottom w:val="single" w:sz="8" w:space="0" w:color="FF7900" w:themeColor="accent6"/>
        </w:tcBorders>
      </w:tcPr>
    </w:tblStylePr>
    <w:tblStylePr w:type="firstCol">
      <w:rPr>
        <w:b/>
        <w:bCs/>
      </w:rPr>
    </w:tblStylePr>
    <w:tblStylePr w:type="lastCol">
      <w:rPr>
        <w:b/>
        <w:bCs/>
      </w:rPr>
      <w:tblPr/>
      <w:tcPr>
        <w:tcBorders>
          <w:top w:val="single" w:sz="8" w:space="0" w:color="FF7900" w:themeColor="accent6"/>
          <w:bottom w:val="single" w:sz="8" w:space="0" w:color="FF7900" w:themeColor="accent6"/>
        </w:tcBorders>
      </w:tcPr>
    </w:tblStylePr>
    <w:tblStylePr w:type="band1Vert">
      <w:tblPr/>
      <w:tcPr>
        <w:shd w:val="clear" w:color="auto" w:fill="FFDDC0" w:themeFill="accent6" w:themeFillTint="3F"/>
      </w:tcPr>
    </w:tblStylePr>
    <w:tblStylePr w:type="band1Horz">
      <w:tblPr/>
      <w:tcPr>
        <w:shd w:val="clear" w:color="auto" w:fill="FFDDC0" w:themeFill="accent6" w:themeFillTint="3F"/>
      </w:tcPr>
    </w:tblStylePr>
  </w:style>
  <w:style w:type="table" w:styleId="MediumList2">
    <w:name w:val="Medium List 2"/>
    <w:basedOn w:val="TableNormal"/>
    <w:uiPriority w:val="66"/>
    <w:rsid w:val="00DD5DC6"/>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DD5DC6"/>
    <w:rPr>
      <w:rFonts w:asciiTheme="majorHAnsi" w:eastAsiaTheme="majorEastAsia" w:hAnsiTheme="majorHAnsi" w:cstheme="majorBidi"/>
      <w:color w:val="000000" w:themeColor="text1"/>
    </w:rPr>
    <w:tblPr>
      <w:tblStyleRowBandSize w:val="1"/>
      <w:tblStyleColBandSize w:val="1"/>
      <w:tblBorders>
        <w:top w:val="single" w:sz="8" w:space="0" w:color="C30045" w:themeColor="accent2"/>
        <w:left w:val="single" w:sz="8" w:space="0" w:color="C30045" w:themeColor="accent2"/>
        <w:bottom w:val="single" w:sz="8" w:space="0" w:color="C30045" w:themeColor="accent2"/>
        <w:right w:val="single" w:sz="8" w:space="0" w:color="C30045" w:themeColor="accent2"/>
      </w:tblBorders>
    </w:tblPr>
    <w:tblStylePr w:type="firstRow">
      <w:rPr>
        <w:sz w:val="24"/>
        <w:szCs w:val="24"/>
      </w:rPr>
      <w:tblPr/>
      <w:tcPr>
        <w:tcBorders>
          <w:top w:val="nil"/>
          <w:left w:val="nil"/>
          <w:bottom w:val="single" w:sz="24" w:space="0" w:color="C30045" w:themeColor="accent2"/>
          <w:right w:val="nil"/>
          <w:insideH w:val="nil"/>
          <w:insideV w:val="nil"/>
        </w:tcBorders>
        <w:shd w:val="clear" w:color="auto" w:fill="FFFFFF" w:themeFill="background1"/>
      </w:tcPr>
    </w:tblStylePr>
    <w:tblStylePr w:type="lastRow">
      <w:tblPr/>
      <w:tcPr>
        <w:tcBorders>
          <w:top w:val="single" w:sz="8" w:space="0" w:color="C30045"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30045" w:themeColor="accent2"/>
          <w:insideH w:val="nil"/>
          <w:insideV w:val="nil"/>
        </w:tcBorders>
        <w:shd w:val="clear" w:color="auto" w:fill="FFFFFF" w:themeFill="background1"/>
      </w:tcPr>
    </w:tblStylePr>
    <w:tblStylePr w:type="lastCol">
      <w:tblPr/>
      <w:tcPr>
        <w:tcBorders>
          <w:top w:val="nil"/>
          <w:left w:val="single" w:sz="8" w:space="0" w:color="C30045"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1CC" w:themeFill="accent2" w:themeFillTint="3F"/>
      </w:tcPr>
    </w:tblStylePr>
    <w:tblStylePr w:type="band1Horz">
      <w:tblPr/>
      <w:tcPr>
        <w:tcBorders>
          <w:top w:val="nil"/>
          <w:bottom w:val="nil"/>
          <w:insideH w:val="nil"/>
          <w:insideV w:val="nil"/>
        </w:tcBorders>
        <w:shd w:val="clear" w:color="auto" w:fill="FFB1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DD5DC6"/>
    <w:rPr>
      <w:rFonts w:asciiTheme="majorHAnsi" w:eastAsiaTheme="majorEastAsia" w:hAnsiTheme="majorHAnsi" w:cstheme="majorBidi"/>
      <w:color w:val="000000" w:themeColor="text1"/>
    </w:rPr>
    <w:tblPr>
      <w:tblStyleRowBandSize w:val="1"/>
      <w:tblStyleColBandSize w:val="1"/>
      <w:tblBorders>
        <w:top w:val="single" w:sz="8" w:space="0" w:color="B1059D" w:themeColor="accent3"/>
        <w:left w:val="single" w:sz="8" w:space="0" w:color="B1059D" w:themeColor="accent3"/>
        <w:bottom w:val="single" w:sz="8" w:space="0" w:color="B1059D" w:themeColor="accent3"/>
        <w:right w:val="single" w:sz="8" w:space="0" w:color="B1059D" w:themeColor="accent3"/>
      </w:tblBorders>
    </w:tblPr>
    <w:tblStylePr w:type="firstRow">
      <w:rPr>
        <w:sz w:val="24"/>
        <w:szCs w:val="24"/>
      </w:rPr>
      <w:tblPr/>
      <w:tcPr>
        <w:tcBorders>
          <w:top w:val="nil"/>
          <w:left w:val="nil"/>
          <w:bottom w:val="single" w:sz="24" w:space="0" w:color="B1059D" w:themeColor="accent3"/>
          <w:right w:val="nil"/>
          <w:insideH w:val="nil"/>
          <w:insideV w:val="nil"/>
        </w:tcBorders>
        <w:shd w:val="clear" w:color="auto" w:fill="FFFFFF" w:themeFill="background1"/>
      </w:tcPr>
    </w:tblStylePr>
    <w:tblStylePr w:type="lastRow">
      <w:tblPr/>
      <w:tcPr>
        <w:tcBorders>
          <w:top w:val="single" w:sz="8" w:space="0" w:color="B1059D"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1059D" w:themeColor="accent3"/>
          <w:insideH w:val="nil"/>
          <w:insideV w:val="nil"/>
        </w:tcBorders>
        <w:shd w:val="clear" w:color="auto" w:fill="FFFFFF" w:themeFill="background1"/>
      </w:tcPr>
    </w:tblStylePr>
    <w:tblStylePr w:type="lastCol">
      <w:tblPr/>
      <w:tcPr>
        <w:tcBorders>
          <w:top w:val="nil"/>
          <w:left w:val="single" w:sz="8" w:space="0" w:color="B1059D"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CAFF3" w:themeFill="accent3" w:themeFillTint="3F"/>
      </w:tcPr>
    </w:tblStylePr>
    <w:tblStylePr w:type="band1Horz">
      <w:tblPr/>
      <w:tcPr>
        <w:tcBorders>
          <w:top w:val="nil"/>
          <w:bottom w:val="nil"/>
          <w:insideH w:val="nil"/>
          <w:insideV w:val="nil"/>
        </w:tcBorders>
        <w:shd w:val="clear" w:color="auto" w:fill="FCAFF3"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DD5DC6"/>
    <w:rPr>
      <w:rFonts w:asciiTheme="majorHAnsi" w:eastAsiaTheme="majorEastAsia" w:hAnsiTheme="majorHAnsi" w:cstheme="majorBidi"/>
      <w:color w:val="000000" w:themeColor="text1"/>
    </w:rPr>
    <w:tblPr>
      <w:tblStyleRowBandSize w:val="1"/>
      <w:tblStyleColBandSize w:val="1"/>
      <w:tblBorders>
        <w:top w:val="single" w:sz="8" w:space="0" w:color="006D55" w:themeColor="accent4"/>
        <w:left w:val="single" w:sz="8" w:space="0" w:color="006D55" w:themeColor="accent4"/>
        <w:bottom w:val="single" w:sz="8" w:space="0" w:color="006D55" w:themeColor="accent4"/>
        <w:right w:val="single" w:sz="8" w:space="0" w:color="006D55" w:themeColor="accent4"/>
      </w:tblBorders>
    </w:tblPr>
    <w:tblStylePr w:type="firstRow">
      <w:rPr>
        <w:sz w:val="24"/>
        <w:szCs w:val="24"/>
      </w:rPr>
      <w:tblPr/>
      <w:tcPr>
        <w:tcBorders>
          <w:top w:val="nil"/>
          <w:left w:val="nil"/>
          <w:bottom w:val="single" w:sz="24" w:space="0" w:color="006D55" w:themeColor="accent4"/>
          <w:right w:val="nil"/>
          <w:insideH w:val="nil"/>
          <w:insideV w:val="nil"/>
        </w:tcBorders>
        <w:shd w:val="clear" w:color="auto" w:fill="FFFFFF" w:themeFill="background1"/>
      </w:tcPr>
    </w:tblStylePr>
    <w:tblStylePr w:type="lastRow">
      <w:tblPr/>
      <w:tcPr>
        <w:tcBorders>
          <w:top w:val="single" w:sz="8" w:space="0" w:color="006D5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6D55" w:themeColor="accent4"/>
          <w:insideH w:val="nil"/>
          <w:insideV w:val="nil"/>
        </w:tcBorders>
        <w:shd w:val="clear" w:color="auto" w:fill="FFFFFF" w:themeFill="background1"/>
      </w:tcPr>
    </w:tblStylePr>
    <w:tblStylePr w:type="lastCol">
      <w:tblPr/>
      <w:tcPr>
        <w:tcBorders>
          <w:top w:val="nil"/>
          <w:left w:val="single" w:sz="8" w:space="0" w:color="006D5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BFFE8" w:themeFill="accent4" w:themeFillTint="3F"/>
      </w:tcPr>
    </w:tblStylePr>
    <w:tblStylePr w:type="band1Horz">
      <w:tblPr/>
      <w:tcPr>
        <w:tcBorders>
          <w:top w:val="nil"/>
          <w:bottom w:val="nil"/>
          <w:insideH w:val="nil"/>
          <w:insideV w:val="nil"/>
        </w:tcBorders>
        <w:shd w:val="clear" w:color="auto" w:fill="9BFF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DD5DC6"/>
    <w:rPr>
      <w:rFonts w:asciiTheme="majorHAnsi" w:eastAsiaTheme="majorEastAsia" w:hAnsiTheme="majorHAnsi" w:cstheme="majorBidi"/>
      <w:color w:val="000000" w:themeColor="text1"/>
    </w:rPr>
    <w:tblPr>
      <w:tblStyleRowBandSize w:val="1"/>
      <w:tblStyleColBandSize w:val="1"/>
      <w:tblBorders>
        <w:top w:val="single" w:sz="8" w:space="0" w:color="7AB800" w:themeColor="accent5"/>
        <w:left w:val="single" w:sz="8" w:space="0" w:color="7AB800" w:themeColor="accent5"/>
        <w:bottom w:val="single" w:sz="8" w:space="0" w:color="7AB800" w:themeColor="accent5"/>
        <w:right w:val="single" w:sz="8" w:space="0" w:color="7AB800" w:themeColor="accent5"/>
      </w:tblBorders>
    </w:tblPr>
    <w:tblStylePr w:type="firstRow">
      <w:rPr>
        <w:sz w:val="24"/>
        <w:szCs w:val="24"/>
      </w:rPr>
      <w:tblPr/>
      <w:tcPr>
        <w:tcBorders>
          <w:top w:val="nil"/>
          <w:left w:val="nil"/>
          <w:bottom w:val="single" w:sz="24" w:space="0" w:color="7AB800" w:themeColor="accent5"/>
          <w:right w:val="nil"/>
          <w:insideH w:val="nil"/>
          <w:insideV w:val="nil"/>
        </w:tcBorders>
        <w:shd w:val="clear" w:color="auto" w:fill="FFFFFF" w:themeFill="background1"/>
      </w:tcPr>
    </w:tblStylePr>
    <w:tblStylePr w:type="lastRow">
      <w:tblPr/>
      <w:tcPr>
        <w:tcBorders>
          <w:top w:val="single" w:sz="8" w:space="0" w:color="7AB80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AB800" w:themeColor="accent5"/>
          <w:insideH w:val="nil"/>
          <w:insideV w:val="nil"/>
        </w:tcBorders>
        <w:shd w:val="clear" w:color="auto" w:fill="FFFFFF" w:themeFill="background1"/>
      </w:tcPr>
    </w:tblStylePr>
    <w:tblStylePr w:type="lastCol">
      <w:tblPr/>
      <w:tcPr>
        <w:tcBorders>
          <w:top w:val="nil"/>
          <w:left w:val="single" w:sz="8" w:space="0" w:color="7AB80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3FFAE" w:themeFill="accent5" w:themeFillTint="3F"/>
      </w:tcPr>
    </w:tblStylePr>
    <w:tblStylePr w:type="band1Horz">
      <w:tblPr/>
      <w:tcPr>
        <w:tcBorders>
          <w:top w:val="nil"/>
          <w:bottom w:val="nil"/>
          <w:insideH w:val="nil"/>
          <w:insideV w:val="nil"/>
        </w:tcBorders>
        <w:shd w:val="clear" w:color="auto" w:fill="E3FFAE"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DD5DC6"/>
    <w:rPr>
      <w:rFonts w:asciiTheme="majorHAnsi" w:eastAsiaTheme="majorEastAsia" w:hAnsiTheme="majorHAnsi" w:cstheme="majorBidi"/>
      <w:color w:val="000000" w:themeColor="text1"/>
    </w:rPr>
    <w:tblPr>
      <w:tblStyleRowBandSize w:val="1"/>
      <w:tblStyleColBandSize w:val="1"/>
      <w:tblBorders>
        <w:top w:val="single" w:sz="8" w:space="0" w:color="FF7900" w:themeColor="accent6"/>
        <w:left w:val="single" w:sz="8" w:space="0" w:color="FF7900" w:themeColor="accent6"/>
        <w:bottom w:val="single" w:sz="8" w:space="0" w:color="FF7900" w:themeColor="accent6"/>
        <w:right w:val="single" w:sz="8" w:space="0" w:color="FF7900" w:themeColor="accent6"/>
      </w:tblBorders>
    </w:tblPr>
    <w:tblStylePr w:type="firstRow">
      <w:rPr>
        <w:sz w:val="24"/>
        <w:szCs w:val="24"/>
      </w:rPr>
      <w:tblPr/>
      <w:tcPr>
        <w:tcBorders>
          <w:top w:val="nil"/>
          <w:left w:val="nil"/>
          <w:bottom w:val="single" w:sz="24" w:space="0" w:color="FF7900" w:themeColor="accent6"/>
          <w:right w:val="nil"/>
          <w:insideH w:val="nil"/>
          <w:insideV w:val="nil"/>
        </w:tcBorders>
        <w:shd w:val="clear" w:color="auto" w:fill="FFFFFF" w:themeFill="background1"/>
      </w:tcPr>
    </w:tblStylePr>
    <w:tblStylePr w:type="lastRow">
      <w:tblPr/>
      <w:tcPr>
        <w:tcBorders>
          <w:top w:val="single" w:sz="8" w:space="0" w:color="FF7900"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7900" w:themeColor="accent6"/>
          <w:insideH w:val="nil"/>
          <w:insideV w:val="nil"/>
        </w:tcBorders>
        <w:shd w:val="clear" w:color="auto" w:fill="FFFFFF" w:themeFill="background1"/>
      </w:tcPr>
    </w:tblStylePr>
    <w:tblStylePr w:type="lastCol">
      <w:tblPr/>
      <w:tcPr>
        <w:tcBorders>
          <w:top w:val="nil"/>
          <w:left w:val="single" w:sz="8" w:space="0" w:color="FF790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DDC0" w:themeFill="accent6" w:themeFillTint="3F"/>
      </w:tcPr>
    </w:tblStylePr>
    <w:tblStylePr w:type="band1Horz">
      <w:tblPr/>
      <w:tcPr>
        <w:tcBorders>
          <w:top w:val="nil"/>
          <w:bottom w:val="nil"/>
          <w:insideH w:val="nil"/>
          <w:insideV w:val="nil"/>
        </w:tcBorders>
        <w:shd w:val="clear" w:color="auto" w:fill="FFDDC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rsid w:val="00DD5DC6"/>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DD5DC6"/>
    <w:tblPr>
      <w:tblStyleRowBandSize w:val="1"/>
      <w:tblStyleColBandSize w:val="1"/>
      <w:tblBorders>
        <w:top w:val="single" w:sz="8" w:space="0" w:color="7543BC" w:themeColor="accent1" w:themeTint="BF"/>
        <w:left w:val="single" w:sz="8" w:space="0" w:color="7543BC" w:themeColor="accent1" w:themeTint="BF"/>
        <w:bottom w:val="single" w:sz="8" w:space="0" w:color="7543BC" w:themeColor="accent1" w:themeTint="BF"/>
        <w:right w:val="single" w:sz="8" w:space="0" w:color="7543BC" w:themeColor="accent1" w:themeTint="BF"/>
        <w:insideH w:val="single" w:sz="8" w:space="0" w:color="7543BC" w:themeColor="accent1" w:themeTint="BF"/>
      </w:tblBorders>
    </w:tblPr>
    <w:tblStylePr w:type="firstRow">
      <w:pPr>
        <w:spacing w:before="0" w:after="0" w:line="240" w:lineRule="auto"/>
      </w:pPr>
      <w:rPr>
        <w:b/>
        <w:bCs/>
        <w:color w:val="FFFFFF" w:themeColor="background1"/>
      </w:rPr>
      <w:tblPr/>
      <w:tcPr>
        <w:tcBorders>
          <w:top w:val="single" w:sz="8" w:space="0" w:color="7543BC" w:themeColor="accent1" w:themeTint="BF"/>
          <w:left w:val="single" w:sz="8" w:space="0" w:color="7543BC" w:themeColor="accent1" w:themeTint="BF"/>
          <w:bottom w:val="single" w:sz="8" w:space="0" w:color="7543BC" w:themeColor="accent1" w:themeTint="BF"/>
          <w:right w:val="single" w:sz="8" w:space="0" w:color="7543BC" w:themeColor="accent1" w:themeTint="BF"/>
          <w:insideH w:val="nil"/>
          <w:insideV w:val="nil"/>
        </w:tcBorders>
        <w:shd w:val="clear" w:color="auto" w:fill="4F2D7F" w:themeFill="accent1"/>
      </w:tcPr>
    </w:tblStylePr>
    <w:tblStylePr w:type="lastRow">
      <w:pPr>
        <w:spacing w:before="0" w:after="0" w:line="240" w:lineRule="auto"/>
      </w:pPr>
      <w:rPr>
        <w:b/>
        <w:bCs/>
      </w:rPr>
      <w:tblPr/>
      <w:tcPr>
        <w:tcBorders>
          <w:top w:val="double" w:sz="6" w:space="0" w:color="7543BC" w:themeColor="accent1" w:themeTint="BF"/>
          <w:left w:val="single" w:sz="8" w:space="0" w:color="7543BC" w:themeColor="accent1" w:themeTint="BF"/>
          <w:bottom w:val="single" w:sz="8" w:space="0" w:color="7543BC" w:themeColor="accent1" w:themeTint="BF"/>
          <w:right w:val="single" w:sz="8" w:space="0" w:color="7543BC" w:themeColor="accent1" w:themeTint="BF"/>
          <w:insideH w:val="nil"/>
          <w:insideV w:val="nil"/>
        </w:tcBorders>
      </w:tcPr>
    </w:tblStylePr>
    <w:tblStylePr w:type="firstCol">
      <w:rPr>
        <w:b/>
        <w:bCs/>
      </w:rPr>
    </w:tblStylePr>
    <w:tblStylePr w:type="lastCol">
      <w:rPr>
        <w:b/>
        <w:bCs/>
      </w:rPr>
    </w:tblStylePr>
    <w:tblStylePr w:type="band1Vert">
      <w:tblPr/>
      <w:tcPr>
        <w:shd w:val="clear" w:color="auto" w:fill="D1C1E9" w:themeFill="accent1" w:themeFillTint="3F"/>
      </w:tcPr>
    </w:tblStylePr>
    <w:tblStylePr w:type="band1Horz">
      <w:tblPr/>
      <w:tcPr>
        <w:tcBorders>
          <w:insideH w:val="nil"/>
          <w:insideV w:val="nil"/>
        </w:tcBorders>
        <w:shd w:val="clear" w:color="auto" w:fill="D1C1E9"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DD5DC6"/>
    <w:tblPr>
      <w:tblStyleRowBandSize w:val="1"/>
      <w:tblStyleColBandSize w:val="1"/>
      <w:tblBorders>
        <w:top w:val="single" w:sz="8" w:space="0" w:color="FF1366" w:themeColor="accent2" w:themeTint="BF"/>
        <w:left w:val="single" w:sz="8" w:space="0" w:color="FF1366" w:themeColor="accent2" w:themeTint="BF"/>
        <w:bottom w:val="single" w:sz="8" w:space="0" w:color="FF1366" w:themeColor="accent2" w:themeTint="BF"/>
        <w:right w:val="single" w:sz="8" w:space="0" w:color="FF1366" w:themeColor="accent2" w:themeTint="BF"/>
        <w:insideH w:val="single" w:sz="8" w:space="0" w:color="FF1366" w:themeColor="accent2" w:themeTint="BF"/>
      </w:tblBorders>
    </w:tblPr>
    <w:tblStylePr w:type="firstRow">
      <w:pPr>
        <w:spacing w:before="0" w:after="0" w:line="240" w:lineRule="auto"/>
      </w:pPr>
      <w:rPr>
        <w:b/>
        <w:bCs/>
        <w:color w:val="FFFFFF" w:themeColor="background1"/>
      </w:rPr>
      <w:tblPr/>
      <w:tcPr>
        <w:tcBorders>
          <w:top w:val="single" w:sz="8" w:space="0" w:color="FF1366" w:themeColor="accent2" w:themeTint="BF"/>
          <w:left w:val="single" w:sz="8" w:space="0" w:color="FF1366" w:themeColor="accent2" w:themeTint="BF"/>
          <w:bottom w:val="single" w:sz="8" w:space="0" w:color="FF1366" w:themeColor="accent2" w:themeTint="BF"/>
          <w:right w:val="single" w:sz="8" w:space="0" w:color="FF1366" w:themeColor="accent2" w:themeTint="BF"/>
          <w:insideH w:val="nil"/>
          <w:insideV w:val="nil"/>
        </w:tcBorders>
        <w:shd w:val="clear" w:color="auto" w:fill="C30045" w:themeFill="accent2"/>
      </w:tcPr>
    </w:tblStylePr>
    <w:tblStylePr w:type="lastRow">
      <w:pPr>
        <w:spacing w:before="0" w:after="0" w:line="240" w:lineRule="auto"/>
      </w:pPr>
      <w:rPr>
        <w:b/>
        <w:bCs/>
      </w:rPr>
      <w:tblPr/>
      <w:tcPr>
        <w:tcBorders>
          <w:top w:val="double" w:sz="6" w:space="0" w:color="FF1366" w:themeColor="accent2" w:themeTint="BF"/>
          <w:left w:val="single" w:sz="8" w:space="0" w:color="FF1366" w:themeColor="accent2" w:themeTint="BF"/>
          <w:bottom w:val="single" w:sz="8" w:space="0" w:color="FF1366" w:themeColor="accent2" w:themeTint="BF"/>
          <w:right w:val="single" w:sz="8" w:space="0" w:color="FF1366"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1CC" w:themeFill="accent2" w:themeFillTint="3F"/>
      </w:tcPr>
    </w:tblStylePr>
    <w:tblStylePr w:type="band1Horz">
      <w:tblPr/>
      <w:tcPr>
        <w:tcBorders>
          <w:insideH w:val="nil"/>
          <w:insideV w:val="nil"/>
        </w:tcBorders>
        <w:shd w:val="clear" w:color="auto" w:fill="FFB1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DD5DC6"/>
    <w:tblPr>
      <w:tblStyleRowBandSize w:val="1"/>
      <w:tblStyleColBandSize w:val="1"/>
      <w:tblBorders>
        <w:top w:val="single" w:sz="8" w:space="0" w:color="F80FDC" w:themeColor="accent3" w:themeTint="BF"/>
        <w:left w:val="single" w:sz="8" w:space="0" w:color="F80FDC" w:themeColor="accent3" w:themeTint="BF"/>
        <w:bottom w:val="single" w:sz="8" w:space="0" w:color="F80FDC" w:themeColor="accent3" w:themeTint="BF"/>
        <w:right w:val="single" w:sz="8" w:space="0" w:color="F80FDC" w:themeColor="accent3" w:themeTint="BF"/>
        <w:insideH w:val="single" w:sz="8" w:space="0" w:color="F80FDC" w:themeColor="accent3" w:themeTint="BF"/>
      </w:tblBorders>
    </w:tblPr>
    <w:tblStylePr w:type="firstRow">
      <w:pPr>
        <w:spacing w:before="0" w:after="0" w:line="240" w:lineRule="auto"/>
      </w:pPr>
      <w:rPr>
        <w:b/>
        <w:bCs/>
        <w:color w:val="FFFFFF" w:themeColor="background1"/>
      </w:rPr>
      <w:tblPr/>
      <w:tcPr>
        <w:tcBorders>
          <w:top w:val="single" w:sz="8" w:space="0" w:color="F80FDC" w:themeColor="accent3" w:themeTint="BF"/>
          <w:left w:val="single" w:sz="8" w:space="0" w:color="F80FDC" w:themeColor="accent3" w:themeTint="BF"/>
          <w:bottom w:val="single" w:sz="8" w:space="0" w:color="F80FDC" w:themeColor="accent3" w:themeTint="BF"/>
          <w:right w:val="single" w:sz="8" w:space="0" w:color="F80FDC" w:themeColor="accent3" w:themeTint="BF"/>
          <w:insideH w:val="nil"/>
          <w:insideV w:val="nil"/>
        </w:tcBorders>
        <w:shd w:val="clear" w:color="auto" w:fill="B1059D" w:themeFill="accent3"/>
      </w:tcPr>
    </w:tblStylePr>
    <w:tblStylePr w:type="lastRow">
      <w:pPr>
        <w:spacing w:before="0" w:after="0" w:line="240" w:lineRule="auto"/>
      </w:pPr>
      <w:rPr>
        <w:b/>
        <w:bCs/>
      </w:rPr>
      <w:tblPr/>
      <w:tcPr>
        <w:tcBorders>
          <w:top w:val="double" w:sz="6" w:space="0" w:color="F80FDC" w:themeColor="accent3" w:themeTint="BF"/>
          <w:left w:val="single" w:sz="8" w:space="0" w:color="F80FDC" w:themeColor="accent3" w:themeTint="BF"/>
          <w:bottom w:val="single" w:sz="8" w:space="0" w:color="F80FDC" w:themeColor="accent3" w:themeTint="BF"/>
          <w:right w:val="single" w:sz="8" w:space="0" w:color="F80FDC" w:themeColor="accent3" w:themeTint="BF"/>
          <w:insideH w:val="nil"/>
          <w:insideV w:val="nil"/>
        </w:tcBorders>
      </w:tcPr>
    </w:tblStylePr>
    <w:tblStylePr w:type="firstCol">
      <w:rPr>
        <w:b/>
        <w:bCs/>
      </w:rPr>
    </w:tblStylePr>
    <w:tblStylePr w:type="lastCol">
      <w:rPr>
        <w:b/>
        <w:bCs/>
      </w:rPr>
    </w:tblStylePr>
    <w:tblStylePr w:type="band1Vert">
      <w:tblPr/>
      <w:tcPr>
        <w:shd w:val="clear" w:color="auto" w:fill="FCAFF3" w:themeFill="accent3" w:themeFillTint="3F"/>
      </w:tcPr>
    </w:tblStylePr>
    <w:tblStylePr w:type="band1Horz">
      <w:tblPr/>
      <w:tcPr>
        <w:tcBorders>
          <w:insideH w:val="nil"/>
          <w:insideV w:val="nil"/>
        </w:tcBorders>
        <w:shd w:val="clear" w:color="auto" w:fill="FCAFF3"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DD5DC6"/>
    <w:tblPr>
      <w:tblStyleRowBandSize w:val="1"/>
      <w:tblStyleColBandSize w:val="1"/>
      <w:tblBorders>
        <w:top w:val="single" w:sz="8" w:space="0" w:color="00D1A2" w:themeColor="accent4" w:themeTint="BF"/>
        <w:left w:val="single" w:sz="8" w:space="0" w:color="00D1A2" w:themeColor="accent4" w:themeTint="BF"/>
        <w:bottom w:val="single" w:sz="8" w:space="0" w:color="00D1A2" w:themeColor="accent4" w:themeTint="BF"/>
        <w:right w:val="single" w:sz="8" w:space="0" w:color="00D1A2" w:themeColor="accent4" w:themeTint="BF"/>
        <w:insideH w:val="single" w:sz="8" w:space="0" w:color="00D1A2" w:themeColor="accent4" w:themeTint="BF"/>
      </w:tblBorders>
    </w:tblPr>
    <w:tblStylePr w:type="firstRow">
      <w:pPr>
        <w:spacing w:before="0" w:after="0" w:line="240" w:lineRule="auto"/>
      </w:pPr>
      <w:rPr>
        <w:b/>
        <w:bCs/>
        <w:color w:val="FFFFFF" w:themeColor="background1"/>
      </w:rPr>
      <w:tblPr/>
      <w:tcPr>
        <w:tcBorders>
          <w:top w:val="single" w:sz="8" w:space="0" w:color="00D1A2" w:themeColor="accent4" w:themeTint="BF"/>
          <w:left w:val="single" w:sz="8" w:space="0" w:color="00D1A2" w:themeColor="accent4" w:themeTint="BF"/>
          <w:bottom w:val="single" w:sz="8" w:space="0" w:color="00D1A2" w:themeColor="accent4" w:themeTint="BF"/>
          <w:right w:val="single" w:sz="8" w:space="0" w:color="00D1A2" w:themeColor="accent4" w:themeTint="BF"/>
          <w:insideH w:val="nil"/>
          <w:insideV w:val="nil"/>
        </w:tcBorders>
        <w:shd w:val="clear" w:color="auto" w:fill="006D55" w:themeFill="accent4"/>
      </w:tcPr>
    </w:tblStylePr>
    <w:tblStylePr w:type="lastRow">
      <w:pPr>
        <w:spacing w:before="0" w:after="0" w:line="240" w:lineRule="auto"/>
      </w:pPr>
      <w:rPr>
        <w:b/>
        <w:bCs/>
      </w:rPr>
      <w:tblPr/>
      <w:tcPr>
        <w:tcBorders>
          <w:top w:val="double" w:sz="6" w:space="0" w:color="00D1A2" w:themeColor="accent4" w:themeTint="BF"/>
          <w:left w:val="single" w:sz="8" w:space="0" w:color="00D1A2" w:themeColor="accent4" w:themeTint="BF"/>
          <w:bottom w:val="single" w:sz="8" w:space="0" w:color="00D1A2" w:themeColor="accent4" w:themeTint="BF"/>
          <w:right w:val="single" w:sz="8" w:space="0" w:color="00D1A2" w:themeColor="accent4" w:themeTint="BF"/>
          <w:insideH w:val="nil"/>
          <w:insideV w:val="nil"/>
        </w:tcBorders>
      </w:tcPr>
    </w:tblStylePr>
    <w:tblStylePr w:type="firstCol">
      <w:rPr>
        <w:b/>
        <w:bCs/>
      </w:rPr>
    </w:tblStylePr>
    <w:tblStylePr w:type="lastCol">
      <w:rPr>
        <w:b/>
        <w:bCs/>
      </w:rPr>
    </w:tblStylePr>
    <w:tblStylePr w:type="band1Vert">
      <w:tblPr/>
      <w:tcPr>
        <w:shd w:val="clear" w:color="auto" w:fill="9BFFE8" w:themeFill="accent4" w:themeFillTint="3F"/>
      </w:tcPr>
    </w:tblStylePr>
    <w:tblStylePr w:type="band1Horz">
      <w:tblPr/>
      <w:tcPr>
        <w:tcBorders>
          <w:insideH w:val="nil"/>
          <w:insideV w:val="nil"/>
        </w:tcBorders>
        <w:shd w:val="clear" w:color="auto" w:fill="9BFF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DD5DC6"/>
    <w:tblPr>
      <w:tblStyleRowBandSize w:val="1"/>
      <w:tblStyleColBandSize w:val="1"/>
      <w:tblBorders>
        <w:top w:val="single" w:sz="8" w:space="0" w:color="ACFF0A" w:themeColor="accent5" w:themeTint="BF"/>
        <w:left w:val="single" w:sz="8" w:space="0" w:color="ACFF0A" w:themeColor="accent5" w:themeTint="BF"/>
        <w:bottom w:val="single" w:sz="8" w:space="0" w:color="ACFF0A" w:themeColor="accent5" w:themeTint="BF"/>
        <w:right w:val="single" w:sz="8" w:space="0" w:color="ACFF0A" w:themeColor="accent5" w:themeTint="BF"/>
        <w:insideH w:val="single" w:sz="8" w:space="0" w:color="ACFF0A" w:themeColor="accent5" w:themeTint="BF"/>
      </w:tblBorders>
    </w:tblPr>
    <w:tblStylePr w:type="firstRow">
      <w:pPr>
        <w:spacing w:before="0" w:after="0" w:line="240" w:lineRule="auto"/>
      </w:pPr>
      <w:rPr>
        <w:b/>
        <w:bCs/>
        <w:color w:val="FFFFFF" w:themeColor="background1"/>
      </w:rPr>
      <w:tblPr/>
      <w:tcPr>
        <w:tcBorders>
          <w:top w:val="single" w:sz="8" w:space="0" w:color="ACFF0A" w:themeColor="accent5" w:themeTint="BF"/>
          <w:left w:val="single" w:sz="8" w:space="0" w:color="ACFF0A" w:themeColor="accent5" w:themeTint="BF"/>
          <w:bottom w:val="single" w:sz="8" w:space="0" w:color="ACFF0A" w:themeColor="accent5" w:themeTint="BF"/>
          <w:right w:val="single" w:sz="8" w:space="0" w:color="ACFF0A" w:themeColor="accent5" w:themeTint="BF"/>
          <w:insideH w:val="nil"/>
          <w:insideV w:val="nil"/>
        </w:tcBorders>
        <w:shd w:val="clear" w:color="auto" w:fill="7AB800" w:themeFill="accent5"/>
      </w:tcPr>
    </w:tblStylePr>
    <w:tblStylePr w:type="lastRow">
      <w:pPr>
        <w:spacing w:before="0" w:after="0" w:line="240" w:lineRule="auto"/>
      </w:pPr>
      <w:rPr>
        <w:b/>
        <w:bCs/>
      </w:rPr>
      <w:tblPr/>
      <w:tcPr>
        <w:tcBorders>
          <w:top w:val="double" w:sz="6" w:space="0" w:color="ACFF0A" w:themeColor="accent5" w:themeTint="BF"/>
          <w:left w:val="single" w:sz="8" w:space="0" w:color="ACFF0A" w:themeColor="accent5" w:themeTint="BF"/>
          <w:bottom w:val="single" w:sz="8" w:space="0" w:color="ACFF0A" w:themeColor="accent5" w:themeTint="BF"/>
          <w:right w:val="single" w:sz="8" w:space="0" w:color="ACFF0A" w:themeColor="accent5" w:themeTint="BF"/>
          <w:insideH w:val="nil"/>
          <w:insideV w:val="nil"/>
        </w:tcBorders>
      </w:tcPr>
    </w:tblStylePr>
    <w:tblStylePr w:type="firstCol">
      <w:rPr>
        <w:b/>
        <w:bCs/>
      </w:rPr>
    </w:tblStylePr>
    <w:tblStylePr w:type="lastCol">
      <w:rPr>
        <w:b/>
        <w:bCs/>
      </w:rPr>
    </w:tblStylePr>
    <w:tblStylePr w:type="band1Vert">
      <w:tblPr/>
      <w:tcPr>
        <w:shd w:val="clear" w:color="auto" w:fill="E3FFAE" w:themeFill="accent5" w:themeFillTint="3F"/>
      </w:tcPr>
    </w:tblStylePr>
    <w:tblStylePr w:type="band1Horz">
      <w:tblPr/>
      <w:tcPr>
        <w:tcBorders>
          <w:insideH w:val="nil"/>
          <w:insideV w:val="nil"/>
        </w:tcBorders>
        <w:shd w:val="clear" w:color="auto" w:fill="E3FFAE"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DD5DC6"/>
    <w:tblPr>
      <w:tblStyleRowBandSize w:val="1"/>
      <w:tblStyleColBandSize w:val="1"/>
      <w:tblBorders>
        <w:top w:val="single" w:sz="8" w:space="0" w:color="FF9A40" w:themeColor="accent6" w:themeTint="BF"/>
        <w:left w:val="single" w:sz="8" w:space="0" w:color="FF9A40" w:themeColor="accent6" w:themeTint="BF"/>
        <w:bottom w:val="single" w:sz="8" w:space="0" w:color="FF9A40" w:themeColor="accent6" w:themeTint="BF"/>
        <w:right w:val="single" w:sz="8" w:space="0" w:color="FF9A40" w:themeColor="accent6" w:themeTint="BF"/>
        <w:insideH w:val="single" w:sz="8" w:space="0" w:color="FF9A40" w:themeColor="accent6" w:themeTint="BF"/>
      </w:tblBorders>
    </w:tblPr>
    <w:tblStylePr w:type="firstRow">
      <w:pPr>
        <w:spacing w:before="0" w:after="0" w:line="240" w:lineRule="auto"/>
      </w:pPr>
      <w:rPr>
        <w:b/>
        <w:bCs/>
        <w:color w:val="FFFFFF" w:themeColor="background1"/>
      </w:rPr>
      <w:tblPr/>
      <w:tcPr>
        <w:tcBorders>
          <w:top w:val="single" w:sz="8" w:space="0" w:color="FF9A40" w:themeColor="accent6" w:themeTint="BF"/>
          <w:left w:val="single" w:sz="8" w:space="0" w:color="FF9A40" w:themeColor="accent6" w:themeTint="BF"/>
          <w:bottom w:val="single" w:sz="8" w:space="0" w:color="FF9A40" w:themeColor="accent6" w:themeTint="BF"/>
          <w:right w:val="single" w:sz="8" w:space="0" w:color="FF9A40" w:themeColor="accent6" w:themeTint="BF"/>
          <w:insideH w:val="nil"/>
          <w:insideV w:val="nil"/>
        </w:tcBorders>
        <w:shd w:val="clear" w:color="auto" w:fill="FF7900" w:themeFill="accent6"/>
      </w:tcPr>
    </w:tblStylePr>
    <w:tblStylePr w:type="lastRow">
      <w:pPr>
        <w:spacing w:before="0" w:after="0" w:line="240" w:lineRule="auto"/>
      </w:pPr>
      <w:rPr>
        <w:b/>
        <w:bCs/>
      </w:rPr>
      <w:tblPr/>
      <w:tcPr>
        <w:tcBorders>
          <w:top w:val="double" w:sz="6" w:space="0" w:color="FF9A40" w:themeColor="accent6" w:themeTint="BF"/>
          <w:left w:val="single" w:sz="8" w:space="0" w:color="FF9A40" w:themeColor="accent6" w:themeTint="BF"/>
          <w:bottom w:val="single" w:sz="8" w:space="0" w:color="FF9A40" w:themeColor="accent6" w:themeTint="BF"/>
          <w:right w:val="single" w:sz="8" w:space="0" w:color="FF9A40"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DDC0" w:themeFill="accent6" w:themeFillTint="3F"/>
      </w:tcPr>
    </w:tblStylePr>
    <w:tblStylePr w:type="band1Horz">
      <w:tblPr/>
      <w:tcPr>
        <w:tcBorders>
          <w:insideH w:val="nil"/>
          <w:insideV w:val="nil"/>
        </w:tcBorders>
        <w:shd w:val="clear" w:color="auto" w:fill="FFDDC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2D7F"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2D7F" w:themeFill="accent1"/>
      </w:tcPr>
    </w:tblStylePr>
    <w:tblStylePr w:type="lastCol">
      <w:rPr>
        <w:b/>
        <w:bCs/>
        <w:color w:val="FFFFFF" w:themeColor="background1"/>
      </w:rPr>
      <w:tblPr/>
      <w:tcPr>
        <w:tcBorders>
          <w:left w:val="nil"/>
          <w:right w:val="nil"/>
          <w:insideH w:val="nil"/>
          <w:insideV w:val="nil"/>
        </w:tcBorders>
        <w:shd w:val="clear" w:color="auto" w:fill="4F2D7F"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30045"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30045" w:themeFill="accent2"/>
      </w:tcPr>
    </w:tblStylePr>
    <w:tblStylePr w:type="lastCol">
      <w:rPr>
        <w:b/>
        <w:bCs/>
        <w:color w:val="FFFFFF" w:themeColor="background1"/>
      </w:rPr>
      <w:tblPr/>
      <w:tcPr>
        <w:tcBorders>
          <w:left w:val="nil"/>
          <w:right w:val="nil"/>
          <w:insideH w:val="nil"/>
          <w:insideV w:val="nil"/>
        </w:tcBorders>
        <w:shd w:val="clear" w:color="auto" w:fill="C30045"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1059D"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1059D" w:themeFill="accent3"/>
      </w:tcPr>
    </w:tblStylePr>
    <w:tblStylePr w:type="lastCol">
      <w:rPr>
        <w:b/>
        <w:bCs/>
        <w:color w:val="FFFFFF" w:themeColor="background1"/>
      </w:rPr>
      <w:tblPr/>
      <w:tcPr>
        <w:tcBorders>
          <w:left w:val="nil"/>
          <w:right w:val="nil"/>
          <w:insideH w:val="nil"/>
          <w:insideV w:val="nil"/>
        </w:tcBorders>
        <w:shd w:val="clear" w:color="auto" w:fill="B1059D"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6D5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6D55" w:themeFill="accent4"/>
      </w:tcPr>
    </w:tblStylePr>
    <w:tblStylePr w:type="lastCol">
      <w:rPr>
        <w:b/>
        <w:bCs/>
        <w:color w:val="FFFFFF" w:themeColor="background1"/>
      </w:rPr>
      <w:tblPr/>
      <w:tcPr>
        <w:tcBorders>
          <w:left w:val="nil"/>
          <w:right w:val="nil"/>
          <w:insideH w:val="nil"/>
          <w:insideV w:val="nil"/>
        </w:tcBorders>
        <w:shd w:val="clear" w:color="auto" w:fill="006D5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AB80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AB800" w:themeFill="accent5"/>
      </w:tcPr>
    </w:tblStylePr>
    <w:tblStylePr w:type="lastCol">
      <w:rPr>
        <w:b/>
        <w:bCs/>
        <w:color w:val="FFFFFF" w:themeColor="background1"/>
      </w:rPr>
      <w:tblPr/>
      <w:tcPr>
        <w:tcBorders>
          <w:left w:val="nil"/>
          <w:right w:val="nil"/>
          <w:insideH w:val="nil"/>
          <w:insideV w:val="nil"/>
        </w:tcBorders>
        <w:shd w:val="clear" w:color="auto" w:fill="7AB80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790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7900" w:themeFill="accent6"/>
      </w:tcPr>
    </w:tblStylePr>
    <w:tblStylePr w:type="lastCol">
      <w:rPr>
        <w:b/>
        <w:bCs/>
        <w:color w:val="FFFFFF" w:themeColor="background1"/>
      </w:rPr>
      <w:tblPr/>
      <w:tcPr>
        <w:tcBorders>
          <w:left w:val="nil"/>
          <w:right w:val="nil"/>
          <w:insideH w:val="nil"/>
          <w:insideV w:val="nil"/>
        </w:tcBorders>
        <w:shd w:val="clear" w:color="auto" w:fill="FF790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rsid w:val="00DD5DC6"/>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DD5DC6"/>
    <w:rPr>
      <w:rFonts w:asciiTheme="majorHAnsi" w:eastAsiaTheme="majorEastAsia" w:hAnsiTheme="majorHAnsi" w:cstheme="majorBidi"/>
      <w:sz w:val="24"/>
      <w:szCs w:val="24"/>
      <w:shd w:val="pct20" w:color="auto" w:fill="auto"/>
      <w:lang w:val="en-US"/>
    </w:rPr>
  </w:style>
  <w:style w:type="paragraph" w:styleId="NoSpacing">
    <w:name w:val="No Spacing"/>
    <w:uiPriority w:val="1"/>
    <w:rsid w:val="00DD5DC6"/>
    <w:rPr>
      <w:rFonts w:ascii="Garamond" w:hAnsi="Garamond" w:cs="Arial"/>
      <w:sz w:val="22"/>
    </w:rPr>
  </w:style>
  <w:style w:type="paragraph" w:styleId="NormalWeb">
    <w:name w:val="Normal (Web)"/>
    <w:basedOn w:val="Normal"/>
    <w:uiPriority w:val="99"/>
    <w:rsid w:val="00DD5DC6"/>
    <w:rPr>
      <w:rFonts w:ascii="Times New Roman" w:hAnsi="Times New Roman" w:cs="Times New Roman"/>
      <w:sz w:val="24"/>
      <w:szCs w:val="24"/>
    </w:rPr>
  </w:style>
  <w:style w:type="paragraph" w:styleId="NormalIndent">
    <w:name w:val="Normal Indent"/>
    <w:basedOn w:val="Normal"/>
    <w:rsid w:val="00DD5DC6"/>
    <w:pPr>
      <w:ind w:left="720"/>
    </w:pPr>
  </w:style>
  <w:style w:type="paragraph" w:styleId="NoteHeading">
    <w:name w:val="Note Heading"/>
    <w:basedOn w:val="Normal"/>
    <w:next w:val="Normal"/>
    <w:link w:val="NoteHeadingChar"/>
    <w:rsid w:val="00DD5DC6"/>
  </w:style>
  <w:style w:type="character" w:customStyle="1" w:styleId="NoteHeadingChar">
    <w:name w:val="Note Heading Char"/>
    <w:basedOn w:val="DefaultParagraphFont"/>
    <w:link w:val="NoteHeading"/>
    <w:rsid w:val="00DD5DC6"/>
    <w:rPr>
      <w:rFonts w:ascii="Garamond" w:hAnsi="Garamond" w:cs="Arial"/>
      <w:sz w:val="22"/>
      <w:lang w:val="en-US"/>
    </w:rPr>
  </w:style>
  <w:style w:type="character" w:styleId="PageNumber">
    <w:name w:val="page number"/>
    <w:basedOn w:val="DefaultParagraphFont"/>
    <w:rsid w:val="00DD5DC6"/>
    <w:rPr>
      <w:lang w:val="en-US"/>
    </w:rPr>
  </w:style>
  <w:style w:type="character" w:styleId="PlaceholderText">
    <w:name w:val="Placeholder Text"/>
    <w:basedOn w:val="DefaultParagraphFont"/>
    <w:uiPriority w:val="99"/>
    <w:semiHidden/>
    <w:rsid w:val="00DD5DC6"/>
    <w:rPr>
      <w:color w:val="808080"/>
      <w:lang w:val="en-US"/>
    </w:rPr>
  </w:style>
  <w:style w:type="paragraph" w:styleId="PlainText">
    <w:name w:val="Plain Text"/>
    <w:basedOn w:val="Normal"/>
    <w:link w:val="PlainTextChar"/>
    <w:rsid w:val="00DD5DC6"/>
    <w:rPr>
      <w:rFonts w:ascii="Consolas" w:hAnsi="Consolas"/>
      <w:sz w:val="21"/>
      <w:szCs w:val="21"/>
    </w:rPr>
  </w:style>
  <w:style w:type="character" w:customStyle="1" w:styleId="PlainTextChar">
    <w:name w:val="Plain Text Char"/>
    <w:basedOn w:val="DefaultParagraphFont"/>
    <w:link w:val="PlainText"/>
    <w:rsid w:val="00DD5DC6"/>
    <w:rPr>
      <w:rFonts w:ascii="Consolas" w:hAnsi="Consolas" w:cs="Arial"/>
      <w:sz w:val="21"/>
      <w:szCs w:val="21"/>
      <w:lang w:val="en-US"/>
    </w:rPr>
  </w:style>
  <w:style w:type="paragraph" w:styleId="Salutation">
    <w:name w:val="Salutation"/>
    <w:basedOn w:val="Normal"/>
    <w:next w:val="Normal"/>
    <w:link w:val="SalutationChar"/>
    <w:rsid w:val="00DD5DC6"/>
  </w:style>
  <w:style w:type="character" w:customStyle="1" w:styleId="SalutationChar">
    <w:name w:val="Salutation Char"/>
    <w:basedOn w:val="DefaultParagraphFont"/>
    <w:link w:val="Salutation"/>
    <w:rsid w:val="00DD5DC6"/>
    <w:rPr>
      <w:rFonts w:ascii="Garamond" w:hAnsi="Garamond" w:cs="Arial"/>
      <w:sz w:val="22"/>
      <w:lang w:val="en-US"/>
    </w:rPr>
  </w:style>
  <w:style w:type="paragraph" w:styleId="Signature">
    <w:name w:val="Signature"/>
    <w:basedOn w:val="Normal"/>
    <w:link w:val="SignatureChar"/>
    <w:rsid w:val="00DD5DC6"/>
    <w:pPr>
      <w:ind w:left="4320"/>
    </w:pPr>
  </w:style>
  <w:style w:type="character" w:customStyle="1" w:styleId="SignatureChar">
    <w:name w:val="Signature Char"/>
    <w:basedOn w:val="DefaultParagraphFont"/>
    <w:link w:val="Signature"/>
    <w:rsid w:val="00DD5DC6"/>
    <w:rPr>
      <w:rFonts w:ascii="Garamond" w:hAnsi="Garamond" w:cs="Arial"/>
      <w:sz w:val="22"/>
      <w:lang w:val="en-US"/>
    </w:rPr>
  </w:style>
  <w:style w:type="character" w:styleId="Strong">
    <w:name w:val="Strong"/>
    <w:basedOn w:val="DefaultParagraphFont"/>
    <w:rsid w:val="00DD5DC6"/>
    <w:rPr>
      <w:b/>
      <w:bCs/>
      <w:lang w:val="en-US"/>
    </w:rPr>
  </w:style>
  <w:style w:type="character" w:styleId="SubtleEmphasis">
    <w:name w:val="Subtle Emphasis"/>
    <w:basedOn w:val="DefaultParagraphFont"/>
    <w:uiPriority w:val="19"/>
    <w:rsid w:val="00DD5DC6"/>
    <w:rPr>
      <w:i/>
      <w:iCs/>
      <w:color w:val="808080" w:themeColor="text1" w:themeTint="7F"/>
      <w:lang w:val="en-US"/>
    </w:rPr>
  </w:style>
  <w:style w:type="character" w:styleId="SubtleReference">
    <w:name w:val="Subtle Reference"/>
    <w:basedOn w:val="DefaultParagraphFont"/>
    <w:uiPriority w:val="31"/>
    <w:rsid w:val="00DD5DC6"/>
    <w:rPr>
      <w:smallCaps/>
      <w:color w:val="C30045" w:themeColor="accent2"/>
      <w:u w:val="single"/>
      <w:lang w:val="en-US"/>
    </w:rPr>
  </w:style>
  <w:style w:type="table" w:styleId="Table3Deffects1">
    <w:name w:val="Table 3D effects 1"/>
    <w:basedOn w:val="TableNormal"/>
    <w:rsid w:val="00DD5DC6"/>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DD5DC6"/>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DD5DC6"/>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DD5DC6"/>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DD5DC6"/>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DD5DC6"/>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rsid w:val="00DD5DC6"/>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rsid w:val="00DD5DC6"/>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rsid w:val="00DD5DC6"/>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rsid w:val="00DD5DC6"/>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DD5DC6"/>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DD5DC6"/>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DD5DC6"/>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DD5DC6"/>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DD5DC6"/>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rsid w:val="00DD5DC6"/>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DD5DC6"/>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rsid w:val="00DD5DC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rsid w:val="00DD5DC6"/>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rsid w:val="00DD5DC6"/>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sid w:val="00DD5DC6"/>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rsid w:val="00DD5DC6"/>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rsid w:val="00DD5DC6"/>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DD5DC6"/>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DD5DC6"/>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rsid w:val="00DD5DC6"/>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rsid w:val="00DD5DC6"/>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DD5DC6"/>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rsid w:val="00DD5DC6"/>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DD5DC6"/>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rsid w:val="00DD5DC6"/>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rsid w:val="00DD5DC6"/>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rsid w:val="00DD5DC6"/>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DD5DC6"/>
    <w:pPr>
      <w:ind w:left="220" w:hanging="220"/>
    </w:pPr>
  </w:style>
  <w:style w:type="paragraph" w:styleId="TableofFigures">
    <w:name w:val="table of figures"/>
    <w:basedOn w:val="Normal"/>
    <w:next w:val="Normal"/>
    <w:rsid w:val="00DD5DC6"/>
  </w:style>
  <w:style w:type="table" w:styleId="TableProfessional">
    <w:name w:val="Table Professional"/>
    <w:basedOn w:val="TableNormal"/>
    <w:rsid w:val="00DD5DC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DD5DC6"/>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DD5DC6"/>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DD5DC6"/>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DD5DC6"/>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DD5DC6"/>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rsid w:val="00DD5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DD5DC6"/>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DD5DC6"/>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DD5DC6"/>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rsid w:val="00DD5DC6"/>
    <w:pPr>
      <w:spacing w:before="120"/>
    </w:pPr>
    <w:rPr>
      <w:rFonts w:asciiTheme="majorHAnsi" w:eastAsiaTheme="majorEastAsia" w:hAnsiTheme="majorHAnsi" w:cstheme="majorBidi"/>
      <w:b/>
      <w:bCs/>
      <w:sz w:val="24"/>
      <w:szCs w:val="24"/>
    </w:rPr>
  </w:style>
  <w:style w:type="paragraph" w:styleId="TOC4">
    <w:name w:val="toc 4"/>
    <w:basedOn w:val="Normal"/>
    <w:next w:val="Normal"/>
    <w:autoRedefine/>
    <w:rsid w:val="00DD5DC6"/>
    <w:pPr>
      <w:spacing w:after="100"/>
      <w:ind w:left="660"/>
    </w:pPr>
  </w:style>
  <w:style w:type="paragraph" w:styleId="TOC5">
    <w:name w:val="toc 5"/>
    <w:basedOn w:val="Normal"/>
    <w:next w:val="Normal"/>
    <w:autoRedefine/>
    <w:rsid w:val="00DD5DC6"/>
    <w:pPr>
      <w:spacing w:after="100"/>
      <w:ind w:left="880"/>
    </w:pPr>
  </w:style>
  <w:style w:type="paragraph" w:styleId="TOC6">
    <w:name w:val="toc 6"/>
    <w:basedOn w:val="Normal"/>
    <w:next w:val="Normal"/>
    <w:autoRedefine/>
    <w:rsid w:val="00DD5DC6"/>
    <w:pPr>
      <w:spacing w:after="100"/>
      <w:ind w:left="1100"/>
    </w:pPr>
  </w:style>
  <w:style w:type="paragraph" w:styleId="TOC7">
    <w:name w:val="toc 7"/>
    <w:basedOn w:val="Normal"/>
    <w:next w:val="Normal"/>
    <w:autoRedefine/>
    <w:rsid w:val="00DD5DC6"/>
    <w:pPr>
      <w:spacing w:after="100"/>
      <w:ind w:left="1320"/>
    </w:pPr>
  </w:style>
  <w:style w:type="paragraph" w:styleId="TOC8">
    <w:name w:val="toc 8"/>
    <w:basedOn w:val="Normal"/>
    <w:next w:val="Normal"/>
    <w:autoRedefine/>
    <w:rsid w:val="00DD5DC6"/>
    <w:pPr>
      <w:spacing w:after="100"/>
      <w:ind w:left="1540"/>
    </w:pPr>
  </w:style>
  <w:style w:type="paragraph" w:styleId="TOC9">
    <w:name w:val="toc 9"/>
    <w:basedOn w:val="Normal"/>
    <w:next w:val="Normal"/>
    <w:autoRedefine/>
    <w:rsid w:val="00DD5DC6"/>
    <w:pPr>
      <w:spacing w:after="100"/>
      <w:ind w:left="1760"/>
    </w:pPr>
  </w:style>
  <w:style w:type="paragraph" w:styleId="TOCHeading">
    <w:name w:val="TOC Heading"/>
    <w:basedOn w:val="Heading1"/>
    <w:next w:val="Normal"/>
    <w:uiPriority w:val="39"/>
    <w:semiHidden/>
    <w:unhideWhenUsed/>
    <w:qFormat/>
    <w:rsid w:val="00DD5DC6"/>
    <w:pPr>
      <w:keepLines/>
      <w:spacing w:before="480" w:line="240" w:lineRule="auto"/>
      <w:outlineLvl w:val="9"/>
    </w:pPr>
    <w:rPr>
      <w:rFonts w:asciiTheme="majorHAnsi" w:eastAsiaTheme="majorEastAsia" w:hAnsiTheme="majorHAnsi" w:cstheme="majorBidi"/>
      <w:b/>
      <w:color w:val="3A215E" w:themeColor="accent1" w:themeShade="BF"/>
      <w:kern w:val="0"/>
      <w:sz w:val="28"/>
    </w:rPr>
  </w:style>
  <w:style w:type="character" w:customStyle="1" w:styleId="FooterChar">
    <w:name w:val="Footer Char"/>
    <w:basedOn w:val="DefaultParagraphFont"/>
    <w:link w:val="Footer"/>
    <w:uiPriority w:val="99"/>
    <w:rsid w:val="00207664"/>
    <w:rPr>
      <w:rFonts w:ascii="Arial" w:hAnsi="Arial" w:cs="Arial"/>
      <w:b/>
      <w:color w:val="747678"/>
      <w:sz w:val="13"/>
    </w:rPr>
  </w:style>
  <w:style w:type="character" w:customStyle="1" w:styleId="Heading1Char">
    <w:name w:val="Heading 1 Char"/>
    <w:basedOn w:val="DefaultParagraphFont"/>
    <w:link w:val="Heading1"/>
    <w:rsid w:val="00207664"/>
    <w:rPr>
      <w:rFonts w:ascii="Arial Black" w:hAnsi="Arial Black" w:cs="Arial"/>
      <w:bCs/>
      <w:color w:val="4F2D7F"/>
      <w:kern w:val="32"/>
      <w:sz w:val="19"/>
      <w:szCs w:val="28"/>
    </w:rPr>
  </w:style>
  <w:style w:type="character" w:customStyle="1" w:styleId="Heading2Char">
    <w:name w:val="Heading 2 Char"/>
    <w:basedOn w:val="DefaultParagraphFont"/>
    <w:link w:val="Heading2"/>
    <w:rsid w:val="00207664"/>
    <w:rPr>
      <w:rFonts w:ascii="Arial Black" w:hAnsi="Arial Black" w:cs="Arial"/>
      <w:kern w:val="32"/>
      <w:sz w:val="19"/>
      <w:szCs w:val="24"/>
    </w:rPr>
  </w:style>
  <w:style w:type="paragraph" w:customStyle="1" w:styleId="Default">
    <w:name w:val="Default"/>
    <w:rsid w:val="00E65CD5"/>
    <w:pPr>
      <w:autoSpaceDE w:val="0"/>
      <w:autoSpaceDN w:val="0"/>
      <w:adjustRightInd w:val="0"/>
    </w:pPr>
    <w:rPr>
      <w:color w:val="000000"/>
      <w:sz w:val="24"/>
      <w:szCs w:val="24"/>
    </w:rPr>
  </w:style>
  <w:style w:type="paragraph" w:customStyle="1" w:styleId="armleftmargin000">
    <w:name w:val="arm_leftmargin_000"/>
    <w:basedOn w:val="Normal"/>
    <w:rsid w:val="00D306A5"/>
    <w:pPr>
      <w:spacing w:after="240"/>
    </w:pPr>
    <w:rPr>
      <w:rFonts w:ascii="Times New Roman" w:hAnsi="Times New Roman" w:cs="Times New Roman"/>
      <w:sz w:val="24"/>
      <w:szCs w:val="24"/>
    </w:rPr>
  </w:style>
  <w:style w:type="character" w:customStyle="1" w:styleId="docsearchterm2">
    <w:name w:val="docsearchterm2"/>
    <w:basedOn w:val="DefaultParagraphFont"/>
    <w:rsid w:val="00D306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7869905">
      <w:bodyDiv w:val="1"/>
      <w:marLeft w:val="0"/>
      <w:marRight w:val="0"/>
      <w:marTop w:val="0"/>
      <w:marBottom w:val="0"/>
      <w:divBdr>
        <w:top w:val="none" w:sz="0" w:space="0" w:color="auto"/>
        <w:left w:val="none" w:sz="0" w:space="0" w:color="auto"/>
        <w:bottom w:val="none" w:sz="0" w:space="0" w:color="auto"/>
        <w:right w:val="none" w:sz="0" w:space="0" w:color="auto"/>
      </w:divBdr>
      <w:divsChild>
        <w:div w:id="938677808">
          <w:marLeft w:val="0"/>
          <w:marRight w:val="0"/>
          <w:marTop w:val="0"/>
          <w:marBottom w:val="0"/>
          <w:divBdr>
            <w:top w:val="none" w:sz="0" w:space="0" w:color="auto"/>
            <w:left w:val="none" w:sz="0" w:space="0" w:color="auto"/>
            <w:bottom w:val="none" w:sz="0" w:space="0" w:color="auto"/>
            <w:right w:val="none" w:sz="0" w:space="0" w:color="auto"/>
          </w:divBdr>
          <w:divsChild>
            <w:div w:id="316304523">
              <w:marLeft w:val="0"/>
              <w:marRight w:val="0"/>
              <w:marTop w:val="0"/>
              <w:marBottom w:val="0"/>
              <w:divBdr>
                <w:top w:val="none" w:sz="0" w:space="0" w:color="auto"/>
                <w:left w:val="none" w:sz="0" w:space="0" w:color="auto"/>
                <w:bottom w:val="none" w:sz="0" w:space="0" w:color="auto"/>
                <w:right w:val="none" w:sz="0" w:space="0" w:color="auto"/>
              </w:divBdr>
              <w:divsChild>
                <w:div w:id="2123262323">
                  <w:marLeft w:val="0"/>
                  <w:marRight w:val="0"/>
                  <w:marTop w:val="0"/>
                  <w:marBottom w:val="0"/>
                  <w:divBdr>
                    <w:top w:val="none" w:sz="0" w:space="0" w:color="auto"/>
                    <w:left w:val="none" w:sz="0" w:space="0" w:color="auto"/>
                    <w:bottom w:val="none" w:sz="0" w:space="0" w:color="auto"/>
                    <w:right w:val="none" w:sz="0" w:space="0" w:color="auto"/>
                  </w:divBdr>
                  <w:divsChild>
                    <w:div w:id="621959591">
                      <w:marLeft w:val="-150"/>
                      <w:marRight w:val="-150"/>
                      <w:marTop w:val="0"/>
                      <w:marBottom w:val="0"/>
                      <w:divBdr>
                        <w:top w:val="none" w:sz="0" w:space="0" w:color="auto"/>
                        <w:left w:val="none" w:sz="0" w:space="0" w:color="auto"/>
                        <w:bottom w:val="none" w:sz="0" w:space="0" w:color="auto"/>
                        <w:right w:val="none" w:sz="0" w:space="0" w:color="auto"/>
                      </w:divBdr>
                      <w:divsChild>
                        <w:div w:id="1828790609">
                          <w:marLeft w:val="0"/>
                          <w:marRight w:val="0"/>
                          <w:marTop w:val="0"/>
                          <w:marBottom w:val="0"/>
                          <w:divBdr>
                            <w:top w:val="none" w:sz="0" w:space="0" w:color="auto"/>
                            <w:left w:val="none" w:sz="0" w:space="0" w:color="auto"/>
                            <w:bottom w:val="none" w:sz="0" w:space="0" w:color="auto"/>
                            <w:right w:val="none" w:sz="0" w:space="0" w:color="auto"/>
                          </w:divBdr>
                          <w:divsChild>
                            <w:div w:id="454954735">
                              <w:marLeft w:val="0"/>
                              <w:marRight w:val="0"/>
                              <w:marTop w:val="0"/>
                              <w:marBottom w:val="0"/>
                              <w:divBdr>
                                <w:top w:val="none" w:sz="0" w:space="0" w:color="auto"/>
                                <w:left w:val="none" w:sz="0" w:space="0" w:color="auto"/>
                                <w:bottom w:val="none" w:sz="0" w:space="0" w:color="auto"/>
                                <w:right w:val="none" w:sz="0" w:space="0" w:color="auto"/>
                              </w:divBdr>
                              <w:divsChild>
                                <w:div w:id="1916940399">
                                  <w:marLeft w:val="0"/>
                                  <w:marRight w:val="0"/>
                                  <w:marTop w:val="0"/>
                                  <w:marBottom w:val="0"/>
                                  <w:divBdr>
                                    <w:top w:val="none" w:sz="0" w:space="0" w:color="auto"/>
                                    <w:left w:val="none" w:sz="0" w:space="0" w:color="auto"/>
                                    <w:bottom w:val="none" w:sz="0" w:space="0" w:color="auto"/>
                                    <w:right w:val="none" w:sz="0" w:space="0" w:color="auto"/>
                                  </w:divBdr>
                                  <w:divsChild>
                                    <w:div w:id="1021584513">
                                      <w:marLeft w:val="0"/>
                                      <w:marRight w:val="0"/>
                                      <w:marTop w:val="0"/>
                                      <w:marBottom w:val="0"/>
                                      <w:divBdr>
                                        <w:top w:val="none" w:sz="0" w:space="0" w:color="auto"/>
                                        <w:left w:val="none" w:sz="0" w:space="0" w:color="auto"/>
                                        <w:bottom w:val="none" w:sz="0" w:space="0" w:color="auto"/>
                                        <w:right w:val="none" w:sz="0" w:space="0" w:color="auto"/>
                                      </w:divBdr>
                                      <w:divsChild>
                                        <w:div w:id="525101792">
                                          <w:marLeft w:val="0"/>
                                          <w:marRight w:val="0"/>
                                          <w:marTop w:val="0"/>
                                          <w:marBottom w:val="0"/>
                                          <w:divBdr>
                                            <w:top w:val="none" w:sz="0" w:space="0" w:color="auto"/>
                                            <w:left w:val="none" w:sz="0" w:space="0" w:color="auto"/>
                                            <w:bottom w:val="none" w:sz="0" w:space="0" w:color="auto"/>
                                            <w:right w:val="none" w:sz="0" w:space="0" w:color="auto"/>
                                          </w:divBdr>
                                          <w:divsChild>
                                            <w:div w:id="1796370811">
                                              <w:marLeft w:val="0"/>
                                              <w:marRight w:val="0"/>
                                              <w:marTop w:val="0"/>
                                              <w:marBottom w:val="0"/>
                                              <w:divBdr>
                                                <w:top w:val="none" w:sz="0" w:space="0" w:color="auto"/>
                                                <w:left w:val="none" w:sz="0" w:space="0" w:color="auto"/>
                                                <w:bottom w:val="none" w:sz="0" w:space="0" w:color="auto"/>
                                                <w:right w:val="none" w:sz="0" w:space="0" w:color="auto"/>
                                              </w:divBdr>
                                              <w:divsChild>
                                                <w:div w:id="218714511">
                                                  <w:marLeft w:val="0"/>
                                                  <w:marRight w:val="0"/>
                                                  <w:marTop w:val="0"/>
                                                  <w:marBottom w:val="0"/>
                                                  <w:divBdr>
                                                    <w:top w:val="none" w:sz="0" w:space="0" w:color="auto"/>
                                                    <w:left w:val="none" w:sz="0" w:space="0" w:color="auto"/>
                                                    <w:bottom w:val="none" w:sz="0" w:space="0" w:color="auto"/>
                                                    <w:right w:val="none" w:sz="0" w:space="0" w:color="auto"/>
                                                  </w:divBdr>
                                                  <w:divsChild>
                                                    <w:div w:id="343746790">
                                                      <w:marLeft w:val="0"/>
                                                      <w:marRight w:val="0"/>
                                                      <w:marTop w:val="0"/>
                                                      <w:marBottom w:val="0"/>
                                                      <w:divBdr>
                                                        <w:top w:val="none" w:sz="0" w:space="0" w:color="auto"/>
                                                        <w:left w:val="none" w:sz="0" w:space="0" w:color="auto"/>
                                                        <w:bottom w:val="none" w:sz="0" w:space="0" w:color="auto"/>
                                                        <w:right w:val="none" w:sz="0" w:space="0" w:color="auto"/>
                                                      </w:divBdr>
                                                      <w:divsChild>
                                                        <w:div w:id="1277785974">
                                                          <w:marLeft w:val="0"/>
                                                          <w:marRight w:val="0"/>
                                                          <w:marTop w:val="0"/>
                                                          <w:marBottom w:val="0"/>
                                                          <w:divBdr>
                                                            <w:top w:val="none" w:sz="0" w:space="0" w:color="auto"/>
                                                            <w:left w:val="none" w:sz="0" w:space="0" w:color="auto"/>
                                                            <w:bottom w:val="none" w:sz="0" w:space="0" w:color="auto"/>
                                                            <w:right w:val="none" w:sz="0" w:space="0" w:color="auto"/>
                                                          </w:divBdr>
                                                          <w:divsChild>
                                                            <w:div w:id="116341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768308063">
      <w:bodyDiv w:val="1"/>
      <w:marLeft w:val="0"/>
      <w:marRight w:val="0"/>
      <w:marTop w:val="0"/>
      <w:marBottom w:val="0"/>
      <w:divBdr>
        <w:top w:val="none" w:sz="0" w:space="0" w:color="auto"/>
        <w:left w:val="none" w:sz="0" w:space="0" w:color="auto"/>
        <w:bottom w:val="none" w:sz="0" w:space="0" w:color="auto"/>
        <w:right w:val="none" w:sz="0" w:space="0" w:color="auto"/>
      </w:divBdr>
      <w:divsChild>
        <w:div w:id="877547705">
          <w:marLeft w:val="0"/>
          <w:marRight w:val="0"/>
          <w:marTop w:val="0"/>
          <w:marBottom w:val="0"/>
          <w:divBdr>
            <w:top w:val="none" w:sz="0" w:space="0" w:color="auto"/>
            <w:left w:val="none" w:sz="0" w:space="0" w:color="auto"/>
            <w:bottom w:val="none" w:sz="0" w:space="0" w:color="auto"/>
            <w:right w:val="none" w:sz="0" w:space="0" w:color="auto"/>
          </w:divBdr>
          <w:divsChild>
            <w:div w:id="1516115390">
              <w:marLeft w:val="0"/>
              <w:marRight w:val="0"/>
              <w:marTop w:val="0"/>
              <w:marBottom w:val="0"/>
              <w:divBdr>
                <w:top w:val="none" w:sz="0" w:space="0" w:color="auto"/>
                <w:left w:val="none" w:sz="0" w:space="0" w:color="auto"/>
                <w:bottom w:val="none" w:sz="0" w:space="0" w:color="auto"/>
                <w:right w:val="none" w:sz="0" w:space="0" w:color="auto"/>
              </w:divBdr>
              <w:divsChild>
                <w:div w:id="113597409">
                  <w:marLeft w:val="0"/>
                  <w:marRight w:val="0"/>
                  <w:marTop w:val="0"/>
                  <w:marBottom w:val="0"/>
                  <w:divBdr>
                    <w:top w:val="none" w:sz="0" w:space="0" w:color="auto"/>
                    <w:left w:val="none" w:sz="0" w:space="0" w:color="auto"/>
                    <w:bottom w:val="none" w:sz="0" w:space="0" w:color="auto"/>
                    <w:right w:val="none" w:sz="0" w:space="0" w:color="auto"/>
                  </w:divBdr>
                  <w:divsChild>
                    <w:div w:id="1917393755">
                      <w:marLeft w:val="0"/>
                      <w:marRight w:val="0"/>
                      <w:marTop w:val="0"/>
                      <w:marBottom w:val="0"/>
                      <w:divBdr>
                        <w:top w:val="none" w:sz="0" w:space="0" w:color="auto"/>
                        <w:left w:val="none" w:sz="0" w:space="0" w:color="auto"/>
                        <w:bottom w:val="none" w:sz="0" w:space="0" w:color="auto"/>
                        <w:right w:val="none" w:sz="0" w:space="0" w:color="auto"/>
                      </w:divBdr>
                      <w:divsChild>
                        <w:div w:id="1121877524">
                          <w:marLeft w:val="0"/>
                          <w:marRight w:val="0"/>
                          <w:marTop w:val="0"/>
                          <w:marBottom w:val="0"/>
                          <w:divBdr>
                            <w:top w:val="none" w:sz="0" w:space="0" w:color="auto"/>
                            <w:left w:val="none" w:sz="0" w:space="0" w:color="auto"/>
                            <w:bottom w:val="none" w:sz="0" w:space="0" w:color="auto"/>
                            <w:right w:val="none" w:sz="0" w:space="0" w:color="auto"/>
                          </w:divBdr>
                          <w:divsChild>
                            <w:div w:id="1776243806">
                              <w:marLeft w:val="0"/>
                              <w:marRight w:val="0"/>
                              <w:marTop w:val="0"/>
                              <w:marBottom w:val="0"/>
                              <w:divBdr>
                                <w:top w:val="none" w:sz="0" w:space="0" w:color="auto"/>
                                <w:left w:val="none" w:sz="0" w:space="0" w:color="auto"/>
                                <w:bottom w:val="none" w:sz="0" w:space="0" w:color="auto"/>
                                <w:right w:val="none" w:sz="0" w:space="0" w:color="auto"/>
                              </w:divBdr>
                              <w:divsChild>
                                <w:div w:id="1914045950">
                                  <w:marLeft w:val="0"/>
                                  <w:marRight w:val="0"/>
                                  <w:marTop w:val="0"/>
                                  <w:marBottom w:val="0"/>
                                  <w:divBdr>
                                    <w:top w:val="none" w:sz="0" w:space="0" w:color="auto"/>
                                    <w:left w:val="none" w:sz="0" w:space="0" w:color="auto"/>
                                    <w:bottom w:val="none" w:sz="0" w:space="0" w:color="auto"/>
                                    <w:right w:val="none" w:sz="0" w:space="0" w:color="auto"/>
                                  </w:divBdr>
                                  <w:divsChild>
                                    <w:div w:id="159468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Grant Thornton">
  <a:themeElements>
    <a:clrScheme name="Grant Thornton">
      <a:dk1>
        <a:sysClr val="windowText" lastClr="000000"/>
      </a:dk1>
      <a:lt1>
        <a:sysClr val="window" lastClr="FFFFFF"/>
      </a:lt1>
      <a:dk2>
        <a:srgbClr val="824BB0"/>
      </a:dk2>
      <a:lt2>
        <a:srgbClr val="747678"/>
      </a:lt2>
      <a:accent1>
        <a:srgbClr val="4F2D7F"/>
      </a:accent1>
      <a:accent2>
        <a:srgbClr val="C30045"/>
      </a:accent2>
      <a:accent3>
        <a:srgbClr val="B1059D"/>
      </a:accent3>
      <a:accent4>
        <a:srgbClr val="006D55"/>
      </a:accent4>
      <a:accent5>
        <a:srgbClr val="7AB800"/>
      </a:accent5>
      <a:accent6>
        <a:srgbClr val="FF7900"/>
      </a:accent6>
      <a:hlink>
        <a:srgbClr val="0000FF"/>
      </a:hlink>
      <a:folHlink>
        <a:srgbClr val="800080"/>
      </a:folHlink>
    </a:clrScheme>
    <a:fontScheme name="Grant Thornton">
      <a:majorFont>
        <a:latin typeface="Arial"/>
        <a:ea typeface=""/>
        <a:cs typeface=""/>
      </a:majorFont>
      <a:minorFont>
        <a:latin typeface="Garamond"/>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White">
      <a:srgbClr val="FFFFFF"/>
    </a:custClr>
    <a:custClr name="Purple">
      <a:srgbClr val="4F2D7F"/>
    </a:custClr>
    <a:custClr name="Green">
      <a:srgbClr val="009B76"/>
    </a:custClr>
    <a:custClr name="Orange">
      <a:srgbClr val="FF7900"/>
    </a:custClr>
    <a:custClr name="Red">
      <a:srgbClr val="C30045"/>
    </a:custClr>
    <a:custClr name="Fuchsia">
      <a:srgbClr val="B1059D"/>
    </a:custClr>
    <a:custClr name="Lavender">
      <a:srgbClr val="824BB0"/>
    </a:custClr>
    <a:custClr name="Yellow">
      <a:srgbClr val="FECB00"/>
    </a:custClr>
    <a:custClr name="Mustard">
      <a:srgbClr val="EAAB00"/>
    </a:custClr>
    <a:custClr name="Terracotta">
      <a:srgbClr val="C75B12"/>
    </a:custClr>
    <a:custClr name="Burgundy">
      <a:srgbClr val="882345"/>
    </a:custClr>
    <a:custClr name="Blue">
      <a:srgbClr val="0046AD"/>
    </a:custClr>
    <a:custClr name="Emerald">
      <a:srgbClr val="006D55"/>
    </a:custClr>
    <a:custClr name="Lime">
      <a:srgbClr val="7AB800"/>
    </a:custClr>
    <a:custClr name="Olive">
      <a:srgbClr val="8E9300"/>
    </a:custClr>
    <a:custClr name="Steel">
      <a:srgbClr val="747678"/>
    </a:custClr>
    <a:custClr name="Black">
      <a:srgbClr val="000000"/>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1E82087E242F841BB29673BD29AE555" ma:contentTypeVersion="0" ma:contentTypeDescription="Create a new document." ma:contentTypeScope="" ma:versionID="e4165a4f357fba904bde472d6b631464">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C43C32-BEFC-4BFC-9C94-799A6751BEC9}">
  <ds:schemaRefs>
    <ds:schemaRef ds:uri="http://schemas.microsoft.com/sharepoint/v3/contenttype/forms"/>
  </ds:schemaRefs>
</ds:datastoreItem>
</file>

<file path=customXml/itemProps2.xml><?xml version="1.0" encoding="utf-8"?>
<ds:datastoreItem xmlns:ds="http://schemas.openxmlformats.org/officeDocument/2006/customXml" ds:itemID="{D188C73C-175B-4C5C-BF27-0AC58B34CA51}">
  <ds:schemaRefs>
    <ds:schemaRef ds:uri="http://purl.org/dc/dcmitype/"/>
    <ds:schemaRef ds:uri="http://schemas.microsoft.com/office/infopath/2007/PartnerControls"/>
    <ds:schemaRef ds:uri="http://purl.org/dc/elements/1.1/"/>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8E5CE4B9-2873-4368-B5D0-3CD37E3E5A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2941D499-FDCB-4344-872C-AE8BD1CB67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1358</Words>
  <Characters>7745</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Grant Thornton LLP</Company>
  <LinksUpToDate>false</LinksUpToDate>
  <CharactersWithSpaces>9085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Douek, Mark</dc:creator>
  <cp:keywords/>
  <dc:description/>
  <cp:lastModifiedBy>Curtis, Michael R CIV OSD OUSD P-R (US)</cp:lastModifiedBy>
  <cp:revision>2</cp:revision>
  <cp:lastPrinted>2014-10-08T16:46:00Z</cp:lastPrinted>
  <dcterms:created xsi:type="dcterms:W3CDTF">2019-08-20T19:59:00Z</dcterms:created>
  <dcterms:modified xsi:type="dcterms:W3CDTF">2019-08-20T19:59:00Z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0x01010071E82087E242F841BB29673BD29AE555</vt:lpwstr>
  </property>
</Properties>
</file>