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1B8C16" w14:textId="77777777" w:rsidR="00A868E1" w:rsidRDefault="00ED2634" w:rsidP="002F6648">
      <w:pPr>
        <w:pStyle w:val="Heading1"/>
        <w:tabs>
          <w:tab w:val="left" w:pos="6675"/>
        </w:tabs>
        <w:ind w:left="-2160" w:firstLine="180"/>
      </w:pPr>
      <w:bookmarkStart w:id="0" w:name="_GoBack"/>
      <w:bookmarkEnd w:id="0"/>
      <w:r>
        <w:rPr>
          <w:sz w:val="24"/>
        </w:rPr>
        <w:t xml:space="preserve">Issue </w:t>
      </w:r>
      <w:r w:rsidR="00D0530D">
        <w:rPr>
          <w:sz w:val="24"/>
        </w:rPr>
        <w:tab/>
      </w:r>
    </w:p>
    <w:p w14:paraId="121B8C17" w14:textId="19F536B6" w:rsidR="005D3273" w:rsidRDefault="003A1F25" w:rsidP="0065297E">
      <w:pPr>
        <w:tabs>
          <w:tab w:val="left" w:pos="9912"/>
        </w:tabs>
        <w:ind w:left="-810"/>
        <w:rPr>
          <w:sz w:val="24"/>
        </w:rPr>
      </w:pPr>
      <w:r>
        <w:rPr>
          <w:sz w:val="24"/>
        </w:rPr>
        <w:t xml:space="preserve">Although </w:t>
      </w:r>
      <w:r w:rsidR="005D3273">
        <w:rPr>
          <w:sz w:val="24"/>
        </w:rPr>
        <w:t xml:space="preserve">the </w:t>
      </w:r>
      <w:r w:rsidR="001B3190">
        <w:rPr>
          <w:sz w:val="24"/>
        </w:rPr>
        <w:t>S</w:t>
      </w:r>
      <w:r w:rsidR="00500559">
        <w:rPr>
          <w:sz w:val="24"/>
        </w:rPr>
        <w:t xml:space="preserve">ervices </w:t>
      </w:r>
      <w:r>
        <w:rPr>
          <w:sz w:val="24"/>
        </w:rPr>
        <w:t>treat</w:t>
      </w:r>
      <w:r w:rsidR="00500559">
        <w:rPr>
          <w:sz w:val="24"/>
        </w:rPr>
        <w:t xml:space="preserve"> prior year adjustments similarly</w:t>
      </w:r>
      <w:r>
        <w:rPr>
          <w:sz w:val="24"/>
        </w:rPr>
        <w:t xml:space="preserve">, </w:t>
      </w:r>
      <w:r w:rsidR="005D3273">
        <w:rPr>
          <w:sz w:val="24"/>
        </w:rPr>
        <w:t>additional clarification is needed regarding existing guidance.</w:t>
      </w:r>
    </w:p>
    <w:p w14:paraId="121B8C18" w14:textId="77777777" w:rsidR="002479EF" w:rsidRDefault="0065297E" w:rsidP="0065297E">
      <w:pPr>
        <w:tabs>
          <w:tab w:val="left" w:pos="9912"/>
        </w:tabs>
        <w:ind w:left="-810"/>
        <w:rPr>
          <w:sz w:val="24"/>
        </w:rPr>
      </w:pPr>
      <w:r>
        <w:rPr>
          <w:sz w:val="24"/>
        </w:rPr>
        <w:tab/>
      </w:r>
    </w:p>
    <w:p w14:paraId="121B8C19" w14:textId="77777777" w:rsidR="002479EF" w:rsidRDefault="002479EF" w:rsidP="002479EF">
      <w:pPr>
        <w:pStyle w:val="Heading1"/>
        <w:tabs>
          <w:tab w:val="left" w:pos="6675"/>
        </w:tabs>
        <w:ind w:left="-2160" w:firstLine="180"/>
        <w:rPr>
          <w:sz w:val="24"/>
        </w:rPr>
      </w:pPr>
      <w:r>
        <w:rPr>
          <w:sz w:val="24"/>
        </w:rPr>
        <w:t>Research</w:t>
      </w:r>
    </w:p>
    <w:p w14:paraId="121B8C1B" w14:textId="75E5EC21" w:rsidR="00ED6A35" w:rsidRDefault="002479EF" w:rsidP="002479EF">
      <w:pPr>
        <w:ind w:left="-810"/>
        <w:rPr>
          <w:sz w:val="24"/>
        </w:rPr>
      </w:pPr>
      <w:r>
        <w:rPr>
          <w:sz w:val="24"/>
        </w:rPr>
        <w:t xml:space="preserve">Below outlines the </w:t>
      </w:r>
      <w:r w:rsidR="00491258">
        <w:rPr>
          <w:sz w:val="24"/>
        </w:rPr>
        <w:t>guidance on handling prior period adjustments</w:t>
      </w:r>
      <w:r w:rsidR="003A1F25">
        <w:rPr>
          <w:sz w:val="24"/>
        </w:rPr>
        <w:t xml:space="preserve">, </w:t>
      </w:r>
      <w:r w:rsidR="00491258">
        <w:rPr>
          <w:sz w:val="24"/>
        </w:rPr>
        <w:t>h</w:t>
      </w:r>
      <w:r>
        <w:rPr>
          <w:sz w:val="24"/>
        </w:rPr>
        <w:t>ow each service complies and what the regulations, accounting guidance and industry standards are for this area.</w:t>
      </w:r>
    </w:p>
    <w:tbl>
      <w:tblPr>
        <w:tblStyle w:val="GridTable4"/>
        <w:tblpPr w:leftFromText="180" w:rightFromText="180" w:vertAnchor="text" w:horzAnchor="page" w:tblpXSpec="center" w:tblpY="151"/>
        <w:tblW w:w="14750" w:type="dxa"/>
        <w:tblLayout w:type="fixed"/>
        <w:tblLook w:val="04A0" w:firstRow="1" w:lastRow="0" w:firstColumn="1" w:lastColumn="0" w:noHBand="0" w:noVBand="1"/>
      </w:tblPr>
      <w:tblGrid>
        <w:gridCol w:w="7730"/>
        <w:gridCol w:w="1710"/>
        <w:gridCol w:w="1530"/>
        <w:gridCol w:w="1890"/>
        <w:gridCol w:w="1890"/>
      </w:tblGrid>
      <w:tr w:rsidR="00ED2634" w:rsidRPr="0076168A" w14:paraId="121B8C21" w14:textId="77777777" w:rsidTr="00596B0D">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7730" w:type="dxa"/>
          </w:tcPr>
          <w:p w14:paraId="121B8C1C" w14:textId="0B64FFF4" w:rsidR="00ED2634" w:rsidRPr="0076168A" w:rsidRDefault="001B3190" w:rsidP="00BB10C9">
            <w:pPr>
              <w:jc w:val="center"/>
              <w:rPr>
                <w:rFonts w:asciiTheme="minorHAnsi" w:hAnsiTheme="minorHAnsi" w:cs="Times New Roman"/>
                <w:sz w:val="28"/>
                <w:szCs w:val="28"/>
              </w:rPr>
            </w:pPr>
            <w:r>
              <w:rPr>
                <w:rFonts w:asciiTheme="minorHAnsi" w:hAnsiTheme="minorHAnsi" w:cs="Times New Roman"/>
                <w:sz w:val="28"/>
                <w:szCs w:val="28"/>
              </w:rPr>
              <w:t>P</w:t>
            </w:r>
            <w:r w:rsidR="00BB10C9">
              <w:rPr>
                <w:rFonts w:asciiTheme="minorHAnsi" w:hAnsiTheme="minorHAnsi" w:cs="Times New Roman"/>
                <w:sz w:val="28"/>
                <w:szCs w:val="28"/>
              </w:rPr>
              <w:t>rior Period Adjustments Treatment and Guidance</w:t>
            </w:r>
          </w:p>
        </w:tc>
        <w:tc>
          <w:tcPr>
            <w:tcW w:w="1710" w:type="dxa"/>
          </w:tcPr>
          <w:p w14:paraId="121B8C1D" w14:textId="77777777" w:rsidR="00ED2634" w:rsidRPr="0076168A" w:rsidRDefault="00ED2634" w:rsidP="00ED263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8"/>
                <w:szCs w:val="28"/>
              </w:rPr>
            </w:pPr>
            <w:r w:rsidRPr="0076168A">
              <w:rPr>
                <w:rFonts w:asciiTheme="minorHAnsi" w:hAnsiTheme="minorHAnsi" w:cs="Times New Roman"/>
                <w:sz w:val="28"/>
                <w:szCs w:val="28"/>
              </w:rPr>
              <w:t>Air Force</w:t>
            </w:r>
          </w:p>
        </w:tc>
        <w:tc>
          <w:tcPr>
            <w:tcW w:w="1530" w:type="dxa"/>
          </w:tcPr>
          <w:p w14:paraId="121B8C1E" w14:textId="77777777" w:rsidR="00ED2634" w:rsidRPr="0076168A" w:rsidRDefault="00ED2634" w:rsidP="00ED263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8"/>
                <w:szCs w:val="28"/>
              </w:rPr>
            </w:pPr>
            <w:r w:rsidRPr="0076168A">
              <w:rPr>
                <w:rFonts w:asciiTheme="minorHAnsi" w:hAnsiTheme="minorHAnsi" w:cs="Times New Roman"/>
                <w:sz w:val="28"/>
                <w:szCs w:val="28"/>
              </w:rPr>
              <w:t>Army</w:t>
            </w:r>
          </w:p>
        </w:tc>
        <w:tc>
          <w:tcPr>
            <w:tcW w:w="1890" w:type="dxa"/>
          </w:tcPr>
          <w:p w14:paraId="121B8C1F" w14:textId="77777777" w:rsidR="00ED2634" w:rsidRPr="0076168A" w:rsidRDefault="00ED2634" w:rsidP="00ED263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8"/>
                <w:szCs w:val="28"/>
              </w:rPr>
            </w:pPr>
            <w:r w:rsidRPr="0076168A">
              <w:rPr>
                <w:rFonts w:asciiTheme="minorHAnsi" w:hAnsiTheme="minorHAnsi" w:cs="Times New Roman"/>
                <w:sz w:val="28"/>
                <w:szCs w:val="28"/>
              </w:rPr>
              <w:t>Marines</w:t>
            </w:r>
          </w:p>
        </w:tc>
        <w:tc>
          <w:tcPr>
            <w:tcW w:w="1890" w:type="dxa"/>
          </w:tcPr>
          <w:p w14:paraId="121B8C20" w14:textId="77777777" w:rsidR="00ED2634" w:rsidRPr="0076168A" w:rsidRDefault="00ED2634" w:rsidP="00ED263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8"/>
                <w:szCs w:val="28"/>
              </w:rPr>
            </w:pPr>
            <w:r w:rsidRPr="0076168A">
              <w:rPr>
                <w:rFonts w:asciiTheme="minorHAnsi" w:hAnsiTheme="minorHAnsi" w:cs="Times New Roman"/>
                <w:sz w:val="28"/>
                <w:szCs w:val="28"/>
              </w:rPr>
              <w:t>Navy</w:t>
            </w:r>
          </w:p>
        </w:tc>
      </w:tr>
      <w:tr w:rsidR="00ED2634" w:rsidRPr="0076168A" w14:paraId="121B8C27" w14:textId="77777777" w:rsidTr="00ED26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30" w:type="dxa"/>
          </w:tcPr>
          <w:p w14:paraId="121B8C22" w14:textId="77777777" w:rsidR="00ED2634" w:rsidRPr="002B2DA1" w:rsidRDefault="003A1F25" w:rsidP="00ED2634">
            <w:pPr>
              <w:rPr>
                <w:rFonts w:asciiTheme="minorHAnsi" w:hAnsiTheme="minorHAnsi" w:cs="Times New Roman"/>
                <w:szCs w:val="22"/>
              </w:rPr>
            </w:pPr>
            <w:r w:rsidRPr="002B2DA1">
              <w:rPr>
                <w:rFonts w:asciiTheme="minorHAnsi" w:hAnsiTheme="minorHAnsi" w:cs="Times New Roman"/>
                <w:szCs w:val="22"/>
              </w:rPr>
              <w:t>Treatment of Prior Period Adjustments</w:t>
            </w:r>
          </w:p>
        </w:tc>
        <w:tc>
          <w:tcPr>
            <w:tcW w:w="1710" w:type="dxa"/>
          </w:tcPr>
          <w:p w14:paraId="121B8C23" w14:textId="77777777" w:rsidR="00ED2634" w:rsidRPr="002B2DA1" w:rsidRDefault="005D3273" w:rsidP="005D3273">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Cs w:val="22"/>
              </w:rPr>
            </w:pPr>
            <w:r w:rsidRPr="002B2DA1">
              <w:rPr>
                <w:rFonts w:asciiTheme="minorHAnsi" w:hAnsiTheme="minorHAnsi" w:cs="Times New Roman"/>
                <w:szCs w:val="22"/>
              </w:rPr>
              <w:t>Adjustments are recorded in e</w:t>
            </w:r>
            <w:r w:rsidR="00ED2634" w:rsidRPr="002B2DA1">
              <w:rPr>
                <w:rFonts w:asciiTheme="minorHAnsi" w:hAnsiTheme="minorHAnsi" w:cs="Times New Roman"/>
                <w:szCs w:val="22"/>
              </w:rPr>
              <w:t>quity and annotated on balance sheet.  Materiality not identified</w:t>
            </w:r>
            <w:r w:rsidRPr="002B2DA1">
              <w:rPr>
                <w:rFonts w:asciiTheme="minorHAnsi" w:hAnsiTheme="minorHAnsi" w:cs="Times New Roman"/>
                <w:szCs w:val="22"/>
              </w:rPr>
              <w:t>.</w:t>
            </w:r>
          </w:p>
        </w:tc>
        <w:tc>
          <w:tcPr>
            <w:tcW w:w="1530" w:type="dxa"/>
          </w:tcPr>
          <w:p w14:paraId="121B8C24" w14:textId="77777777" w:rsidR="00ED2634" w:rsidRPr="002B2DA1" w:rsidRDefault="005D3273" w:rsidP="00ED2634">
            <w:pPr>
              <w:cnfStyle w:val="000000100000" w:firstRow="0" w:lastRow="0" w:firstColumn="0" w:lastColumn="0" w:oddVBand="0" w:evenVBand="0" w:oddHBand="1" w:evenHBand="0" w:firstRowFirstColumn="0" w:firstRowLastColumn="0" w:lastRowFirstColumn="0" w:lastRowLastColumn="0"/>
              <w:rPr>
                <w:szCs w:val="22"/>
              </w:rPr>
            </w:pPr>
            <w:r w:rsidRPr="002B2DA1">
              <w:rPr>
                <w:rFonts w:asciiTheme="minorHAnsi" w:hAnsiTheme="minorHAnsi" w:cs="Times New Roman"/>
                <w:szCs w:val="22"/>
              </w:rPr>
              <w:t>Adjustments are recorded in equity and annotated on balance sheet.  Materiality not identified.</w:t>
            </w:r>
          </w:p>
        </w:tc>
        <w:tc>
          <w:tcPr>
            <w:tcW w:w="1890" w:type="dxa"/>
          </w:tcPr>
          <w:p w14:paraId="121B8C25" w14:textId="77777777" w:rsidR="00ED2634" w:rsidRPr="002B2DA1" w:rsidRDefault="005D3273" w:rsidP="005D3273">
            <w:pPr>
              <w:cnfStyle w:val="000000100000" w:firstRow="0" w:lastRow="0" w:firstColumn="0" w:lastColumn="0" w:oddVBand="0" w:evenVBand="0" w:oddHBand="1" w:evenHBand="0" w:firstRowFirstColumn="0" w:firstRowLastColumn="0" w:lastRowFirstColumn="0" w:lastRowLastColumn="0"/>
              <w:rPr>
                <w:szCs w:val="22"/>
              </w:rPr>
            </w:pPr>
            <w:r w:rsidRPr="002B2DA1">
              <w:rPr>
                <w:rFonts w:asciiTheme="minorHAnsi" w:hAnsiTheme="minorHAnsi" w:cs="Times New Roman"/>
                <w:szCs w:val="22"/>
              </w:rPr>
              <w:t xml:space="preserve">Adjustments are recorded in equity and annotated on balance sheet.  </w:t>
            </w:r>
            <w:r w:rsidR="00ED2634" w:rsidRPr="002B2DA1">
              <w:rPr>
                <w:rFonts w:asciiTheme="minorHAnsi" w:hAnsiTheme="minorHAnsi" w:cs="Times New Roman"/>
                <w:szCs w:val="22"/>
              </w:rPr>
              <w:t>Materiality 1% or more</w:t>
            </w:r>
            <w:r w:rsidRPr="002B2DA1">
              <w:rPr>
                <w:rFonts w:asciiTheme="minorHAnsi" w:hAnsiTheme="minorHAnsi" w:cs="Times New Roman"/>
                <w:szCs w:val="22"/>
              </w:rPr>
              <w:t>.</w:t>
            </w:r>
          </w:p>
        </w:tc>
        <w:tc>
          <w:tcPr>
            <w:tcW w:w="1890" w:type="dxa"/>
          </w:tcPr>
          <w:p w14:paraId="121B8C26" w14:textId="77777777" w:rsidR="00ED2634" w:rsidRPr="002B2DA1" w:rsidRDefault="005D3273" w:rsidP="00ED2634">
            <w:pPr>
              <w:cnfStyle w:val="000000100000" w:firstRow="0" w:lastRow="0" w:firstColumn="0" w:lastColumn="0" w:oddVBand="0" w:evenVBand="0" w:oddHBand="1" w:evenHBand="0" w:firstRowFirstColumn="0" w:firstRowLastColumn="0" w:lastRowFirstColumn="0" w:lastRowLastColumn="0"/>
              <w:rPr>
                <w:szCs w:val="22"/>
              </w:rPr>
            </w:pPr>
            <w:r w:rsidRPr="002B2DA1">
              <w:rPr>
                <w:rFonts w:asciiTheme="minorHAnsi" w:hAnsiTheme="minorHAnsi" w:cs="Times New Roman"/>
                <w:szCs w:val="22"/>
              </w:rPr>
              <w:t>Adjustments are recorded in equity and annotated on balance sheet.  Materiality not identified.</w:t>
            </w:r>
          </w:p>
        </w:tc>
      </w:tr>
      <w:tr w:rsidR="00020ABF" w:rsidRPr="0076168A" w14:paraId="121B8C2F" w14:textId="77777777" w:rsidTr="00ED2634">
        <w:tc>
          <w:tcPr>
            <w:cnfStyle w:val="001000000000" w:firstRow="0" w:lastRow="0" w:firstColumn="1" w:lastColumn="0" w:oddVBand="0" w:evenVBand="0" w:oddHBand="0" w:evenHBand="0" w:firstRowFirstColumn="0" w:firstRowLastColumn="0" w:lastRowFirstColumn="0" w:lastRowLastColumn="0"/>
            <w:tcW w:w="7730" w:type="dxa"/>
          </w:tcPr>
          <w:p w14:paraId="121B8C28" w14:textId="5E7EB245" w:rsidR="00020ABF" w:rsidRPr="002B2DA1" w:rsidRDefault="00020ABF" w:rsidP="00020ABF">
            <w:pPr>
              <w:autoSpaceDE w:val="0"/>
              <w:autoSpaceDN w:val="0"/>
              <w:adjustRightInd w:val="0"/>
              <w:rPr>
                <w:rFonts w:asciiTheme="minorHAnsi" w:hAnsiTheme="minorHAnsi" w:cs="Times New Roman"/>
                <w:b w:val="0"/>
                <w:szCs w:val="22"/>
              </w:rPr>
            </w:pPr>
            <w:r w:rsidRPr="002B2DA1">
              <w:rPr>
                <w:rFonts w:asciiTheme="minorHAnsi" w:hAnsiTheme="minorHAnsi" w:cs="Times New Roman"/>
                <w:szCs w:val="22"/>
              </w:rPr>
              <w:t>DoD</w:t>
            </w:r>
            <w:r w:rsidR="00252225" w:rsidRPr="002B2DA1">
              <w:rPr>
                <w:rFonts w:asciiTheme="minorHAnsi" w:hAnsiTheme="minorHAnsi" w:cs="Times New Roman"/>
                <w:szCs w:val="22"/>
              </w:rPr>
              <w:t>I</w:t>
            </w:r>
            <w:r w:rsidR="002B2DA1">
              <w:rPr>
                <w:rFonts w:asciiTheme="minorHAnsi" w:hAnsiTheme="minorHAnsi" w:cs="Times New Roman"/>
                <w:szCs w:val="22"/>
              </w:rPr>
              <w:t xml:space="preserve"> </w:t>
            </w:r>
            <w:r w:rsidRPr="002B2DA1">
              <w:rPr>
                <w:rFonts w:asciiTheme="minorHAnsi" w:hAnsiTheme="minorHAnsi" w:cs="Times New Roman"/>
                <w:szCs w:val="22"/>
              </w:rPr>
              <w:t>1015.15</w:t>
            </w:r>
            <w:r w:rsidR="002B2DA1">
              <w:rPr>
                <w:rFonts w:asciiTheme="minorHAnsi" w:hAnsiTheme="minorHAnsi" w:cs="Times New Roman"/>
                <w:szCs w:val="22"/>
              </w:rPr>
              <w:t xml:space="preserve">, paragraph </w:t>
            </w:r>
            <w:r w:rsidRPr="002B2DA1">
              <w:rPr>
                <w:rFonts w:asciiTheme="minorHAnsi" w:hAnsiTheme="minorHAnsi" w:cs="Times New Roman"/>
                <w:szCs w:val="22"/>
              </w:rPr>
              <w:t>6.4.2.4.</w:t>
            </w:r>
            <w:r w:rsidRPr="002B2DA1">
              <w:rPr>
                <w:rFonts w:asciiTheme="minorHAnsi" w:hAnsiTheme="minorHAnsi" w:cs="Times New Roman"/>
                <w:b w:val="0"/>
                <w:szCs w:val="22"/>
              </w:rPr>
              <w:t xml:space="preserve"> Equity Transactions. Transfers into and out of equity shall be limited to net income; net losses; declaration of dividends by Armed Services Exchanges; prior year material corrections; components of other comprehensive income (loss) prescribed by Financial Accounting Standard No. 130 (Reference (ao)); entries associated with the establishment, disestablishment, or consolidation of NAFIs; and distribution and receipt of capital.</w:t>
            </w:r>
          </w:p>
          <w:p w14:paraId="121B8C29" w14:textId="77777777" w:rsidR="00020ABF" w:rsidRPr="002B2DA1" w:rsidRDefault="00020ABF" w:rsidP="00020ABF">
            <w:pPr>
              <w:autoSpaceDE w:val="0"/>
              <w:autoSpaceDN w:val="0"/>
              <w:adjustRightInd w:val="0"/>
              <w:rPr>
                <w:rFonts w:asciiTheme="minorHAnsi" w:hAnsiTheme="minorHAnsi" w:cs="Times New Roman"/>
                <w:szCs w:val="22"/>
              </w:rPr>
            </w:pPr>
            <w:r w:rsidRPr="002B2DA1">
              <w:rPr>
                <w:rFonts w:asciiTheme="minorHAnsi" w:hAnsiTheme="minorHAnsi" w:cs="Times New Roman"/>
                <w:b w:val="0"/>
                <w:szCs w:val="22"/>
              </w:rPr>
              <w:t>Materiality:  Silent on Treatment of prior period adjustments.</w:t>
            </w:r>
          </w:p>
        </w:tc>
        <w:tc>
          <w:tcPr>
            <w:tcW w:w="1710" w:type="dxa"/>
          </w:tcPr>
          <w:p w14:paraId="121B8C2A" w14:textId="77777777" w:rsidR="00020ABF" w:rsidRPr="002B2DA1" w:rsidRDefault="00020ABF" w:rsidP="00020ABF">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Cs w:val="22"/>
              </w:rPr>
            </w:pPr>
            <w:r w:rsidRPr="002B2DA1">
              <w:rPr>
                <w:rFonts w:asciiTheme="minorHAnsi" w:hAnsiTheme="minorHAnsi" w:cs="Times New Roman"/>
                <w:szCs w:val="22"/>
              </w:rPr>
              <w:t>Follows Current Guidance</w:t>
            </w:r>
          </w:p>
          <w:p w14:paraId="121B8C2B" w14:textId="77777777" w:rsidR="00020ABF" w:rsidRPr="002B2DA1" w:rsidRDefault="00020ABF" w:rsidP="00020ABF">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Cs w:val="22"/>
              </w:rPr>
            </w:pPr>
          </w:p>
        </w:tc>
        <w:tc>
          <w:tcPr>
            <w:tcW w:w="1530" w:type="dxa"/>
          </w:tcPr>
          <w:p w14:paraId="121B8C2C" w14:textId="77777777" w:rsidR="00020ABF" w:rsidRPr="002B2DA1" w:rsidRDefault="00020ABF" w:rsidP="00020ABF">
            <w:pPr>
              <w:cnfStyle w:val="000000000000" w:firstRow="0" w:lastRow="0" w:firstColumn="0" w:lastColumn="0" w:oddVBand="0" w:evenVBand="0" w:oddHBand="0" w:evenHBand="0" w:firstRowFirstColumn="0" w:firstRowLastColumn="0" w:lastRowFirstColumn="0" w:lastRowLastColumn="0"/>
              <w:rPr>
                <w:szCs w:val="22"/>
              </w:rPr>
            </w:pPr>
            <w:r w:rsidRPr="002B2DA1">
              <w:rPr>
                <w:rFonts w:asciiTheme="minorHAnsi" w:hAnsiTheme="minorHAnsi" w:cs="Times New Roman"/>
                <w:szCs w:val="22"/>
              </w:rPr>
              <w:t>Follows Current Guidance</w:t>
            </w:r>
          </w:p>
        </w:tc>
        <w:tc>
          <w:tcPr>
            <w:tcW w:w="1890" w:type="dxa"/>
          </w:tcPr>
          <w:p w14:paraId="6A557DE2" w14:textId="77777777" w:rsidR="00517E60" w:rsidRPr="002B2DA1" w:rsidRDefault="00020ABF" w:rsidP="00020ABF">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Cs w:val="22"/>
              </w:rPr>
            </w:pPr>
            <w:r w:rsidRPr="002B2DA1">
              <w:rPr>
                <w:rFonts w:asciiTheme="minorHAnsi" w:hAnsiTheme="minorHAnsi" w:cs="Times New Roman"/>
                <w:szCs w:val="22"/>
              </w:rPr>
              <w:t xml:space="preserve">Follows </w:t>
            </w:r>
          </w:p>
          <w:p w14:paraId="121B8C2D" w14:textId="6CCB474D" w:rsidR="00020ABF" w:rsidRPr="002B2DA1" w:rsidRDefault="00020ABF" w:rsidP="00020ABF">
            <w:pPr>
              <w:cnfStyle w:val="000000000000" w:firstRow="0" w:lastRow="0" w:firstColumn="0" w:lastColumn="0" w:oddVBand="0" w:evenVBand="0" w:oddHBand="0" w:evenHBand="0" w:firstRowFirstColumn="0" w:firstRowLastColumn="0" w:lastRowFirstColumn="0" w:lastRowLastColumn="0"/>
              <w:rPr>
                <w:szCs w:val="22"/>
              </w:rPr>
            </w:pPr>
            <w:r w:rsidRPr="002B2DA1">
              <w:rPr>
                <w:rFonts w:asciiTheme="minorHAnsi" w:hAnsiTheme="minorHAnsi" w:cs="Times New Roman"/>
                <w:szCs w:val="22"/>
              </w:rPr>
              <w:t>Current Guidance</w:t>
            </w:r>
          </w:p>
        </w:tc>
        <w:tc>
          <w:tcPr>
            <w:tcW w:w="1890" w:type="dxa"/>
          </w:tcPr>
          <w:p w14:paraId="332A4FDE" w14:textId="77777777" w:rsidR="00517E60" w:rsidRPr="002B2DA1" w:rsidRDefault="00020ABF" w:rsidP="00020ABF">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Cs w:val="22"/>
              </w:rPr>
            </w:pPr>
            <w:r w:rsidRPr="002B2DA1">
              <w:rPr>
                <w:rFonts w:asciiTheme="minorHAnsi" w:hAnsiTheme="minorHAnsi" w:cs="Times New Roman"/>
                <w:szCs w:val="22"/>
              </w:rPr>
              <w:t xml:space="preserve">Follows </w:t>
            </w:r>
          </w:p>
          <w:p w14:paraId="121B8C2E" w14:textId="7946BB28" w:rsidR="00020ABF" w:rsidRPr="002B2DA1" w:rsidRDefault="00020ABF" w:rsidP="00020ABF">
            <w:pPr>
              <w:cnfStyle w:val="000000000000" w:firstRow="0" w:lastRow="0" w:firstColumn="0" w:lastColumn="0" w:oddVBand="0" w:evenVBand="0" w:oddHBand="0" w:evenHBand="0" w:firstRowFirstColumn="0" w:firstRowLastColumn="0" w:lastRowFirstColumn="0" w:lastRowLastColumn="0"/>
              <w:rPr>
                <w:szCs w:val="22"/>
              </w:rPr>
            </w:pPr>
            <w:r w:rsidRPr="002B2DA1">
              <w:rPr>
                <w:rFonts w:asciiTheme="minorHAnsi" w:hAnsiTheme="minorHAnsi" w:cs="Times New Roman"/>
                <w:szCs w:val="22"/>
              </w:rPr>
              <w:t>Current Guidance</w:t>
            </w:r>
          </w:p>
        </w:tc>
      </w:tr>
      <w:tr w:rsidR="00020ABF" w:rsidRPr="0076168A" w14:paraId="121B8C35" w14:textId="77777777" w:rsidTr="00ED26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30" w:type="dxa"/>
          </w:tcPr>
          <w:p w14:paraId="121B8C30" w14:textId="7E8975B9" w:rsidR="00020ABF" w:rsidRPr="002B2DA1" w:rsidRDefault="002B2DA1" w:rsidP="00814DAD">
            <w:pPr>
              <w:pStyle w:val="Default"/>
              <w:rPr>
                <w:rFonts w:asciiTheme="minorHAnsi" w:hAnsiTheme="minorHAnsi"/>
                <w:sz w:val="22"/>
                <w:szCs w:val="22"/>
              </w:rPr>
            </w:pPr>
            <w:r>
              <w:rPr>
                <w:rFonts w:asciiTheme="minorHAnsi" w:hAnsiTheme="minorHAnsi"/>
                <w:sz w:val="22"/>
                <w:szCs w:val="22"/>
              </w:rPr>
              <w:t xml:space="preserve">FMR Volume </w:t>
            </w:r>
            <w:r w:rsidR="00020ABF" w:rsidRPr="002B2DA1">
              <w:rPr>
                <w:rFonts w:asciiTheme="minorHAnsi" w:hAnsiTheme="minorHAnsi"/>
                <w:sz w:val="22"/>
                <w:szCs w:val="22"/>
              </w:rPr>
              <w:t>13</w:t>
            </w:r>
            <w:r>
              <w:rPr>
                <w:rFonts w:asciiTheme="minorHAnsi" w:hAnsiTheme="minorHAnsi"/>
                <w:sz w:val="22"/>
                <w:szCs w:val="22"/>
              </w:rPr>
              <w:t>, Chapter 3</w:t>
            </w:r>
            <w:r w:rsidR="00814DAD">
              <w:rPr>
                <w:rFonts w:asciiTheme="minorHAnsi" w:hAnsiTheme="minorHAnsi"/>
                <w:sz w:val="22"/>
                <w:szCs w:val="22"/>
              </w:rPr>
              <w:t>,</w:t>
            </w:r>
            <w:r>
              <w:rPr>
                <w:rFonts w:asciiTheme="minorHAnsi" w:hAnsiTheme="minorHAnsi"/>
                <w:sz w:val="22"/>
                <w:szCs w:val="22"/>
              </w:rPr>
              <w:t xml:space="preserve"> </w:t>
            </w:r>
            <w:r w:rsidR="00020ABF" w:rsidRPr="002B2DA1">
              <w:rPr>
                <w:rFonts w:asciiTheme="minorHAnsi" w:hAnsiTheme="minorHAnsi"/>
                <w:sz w:val="22"/>
                <w:szCs w:val="22"/>
              </w:rPr>
              <w:t>030</w:t>
            </w:r>
            <w:r w:rsidR="00250FA9">
              <w:rPr>
                <w:rFonts w:asciiTheme="minorHAnsi" w:hAnsiTheme="minorHAnsi"/>
                <w:sz w:val="22"/>
                <w:szCs w:val="22"/>
              </w:rPr>
              <w:t>6. Accounting Requirements for Net Worth:</w:t>
            </w:r>
            <w:r w:rsidR="00020ABF" w:rsidRPr="002B2DA1">
              <w:rPr>
                <w:rFonts w:asciiTheme="minorHAnsi" w:hAnsiTheme="minorHAnsi"/>
                <w:sz w:val="22"/>
                <w:szCs w:val="22"/>
              </w:rPr>
              <w:t xml:space="preserve"> </w:t>
            </w:r>
            <w:r w:rsidR="00020ABF" w:rsidRPr="002B2DA1">
              <w:rPr>
                <w:rFonts w:ascii="Garamond" w:hAnsi="Garamond" w:cs="Arial"/>
                <w:b w:val="0"/>
                <w:bCs w:val="0"/>
                <w:sz w:val="22"/>
                <w:szCs w:val="22"/>
              </w:rPr>
              <w:t xml:space="preserve"> </w:t>
            </w:r>
            <w:r w:rsidR="00020ABF" w:rsidRPr="002B2DA1">
              <w:rPr>
                <w:rFonts w:asciiTheme="minorHAnsi" w:hAnsiTheme="minorHAnsi"/>
                <w:b w:val="0"/>
                <w:color w:val="auto"/>
                <w:sz w:val="22"/>
                <w:szCs w:val="22"/>
              </w:rPr>
              <w:t xml:space="preserve">Net Worth or Fund Equity consists of capital invested in NAFIs plus (minus) the net income (loss), resulting from operations since inception.  Transactions into and out of equity are limited to net income, net losses, and entries associated with the establishment of the fund, as well as certain adjustments. Adjustments are rare and might include certain accounting principle changes, certain prior period adjustments and distribution of capital. </w:t>
            </w:r>
            <w:r w:rsidR="00020ABF" w:rsidRPr="002B2DA1">
              <w:rPr>
                <w:rFonts w:asciiTheme="minorHAnsi" w:hAnsiTheme="minorHAnsi"/>
                <w:b w:val="0"/>
                <w:color w:val="auto"/>
                <w:sz w:val="22"/>
                <w:szCs w:val="22"/>
              </w:rPr>
              <w:br/>
            </w:r>
            <w:r>
              <w:rPr>
                <w:sz w:val="22"/>
                <w:szCs w:val="22"/>
              </w:rPr>
              <w:t>FMR Volume 13, Chapter 1</w:t>
            </w:r>
            <w:r w:rsidR="00814DAD">
              <w:rPr>
                <w:sz w:val="22"/>
                <w:szCs w:val="22"/>
              </w:rPr>
              <w:t>,</w:t>
            </w:r>
            <w:r>
              <w:rPr>
                <w:sz w:val="22"/>
                <w:szCs w:val="22"/>
              </w:rPr>
              <w:t xml:space="preserve"> </w:t>
            </w:r>
            <w:r w:rsidR="00020ABF" w:rsidRPr="002B2DA1">
              <w:rPr>
                <w:sz w:val="22"/>
                <w:szCs w:val="22"/>
              </w:rPr>
              <w:t>01021</w:t>
            </w:r>
            <w:r w:rsidR="00250FA9">
              <w:rPr>
                <w:sz w:val="22"/>
                <w:szCs w:val="22"/>
              </w:rPr>
              <w:t>0</w:t>
            </w:r>
            <w:r w:rsidR="00020ABF" w:rsidRPr="002B2DA1">
              <w:rPr>
                <w:b w:val="0"/>
                <w:sz w:val="22"/>
                <w:szCs w:val="22"/>
              </w:rPr>
              <w:t>.</w:t>
            </w:r>
            <w:r w:rsidR="00250FA9">
              <w:rPr>
                <w:b w:val="0"/>
                <w:sz w:val="22"/>
                <w:szCs w:val="22"/>
              </w:rPr>
              <w:t xml:space="preserve"> Materiality:</w:t>
            </w:r>
            <w:r w:rsidR="00020ABF" w:rsidRPr="002B2DA1">
              <w:rPr>
                <w:b w:val="0"/>
                <w:sz w:val="22"/>
                <w:szCs w:val="22"/>
              </w:rPr>
              <w:t xml:space="preserve"> </w:t>
            </w:r>
            <w:r w:rsidR="00020ABF" w:rsidRPr="002B2DA1">
              <w:rPr>
                <w:rFonts w:asciiTheme="minorHAnsi" w:hAnsiTheme="minorHAnsi"/>
                <w:b w:val="0"/>
                <w:sz w:val="22"/>
                <w:szCs w:val="22"/>
              </w:rPr>
              <w:t xml:space="preserve">Materiality refers to the magnitude of an omission or misstatement of accounting data that misleads financial statement readers. Information is material when it is of such magnitude or significance that its omission or misstatement leads to a misinterpretation of the financial information. For example, amounts in a financial statement </w:t>
            </w:r>
            <w:r w:rsidR="00814DAD">
              <w:rPr>
                <w:rFonts w:asciiTheme="minorHAnsi" w:hAnsiTheme="minorHAnsi"/>
                <w:b w:val="0"/>
                <w:sz w:val="22"/>
                <w:szCs w:val="22"/>
              </w:rPr>
              <w:t>that</w:t>
            </w:r>
            <w:r w:rsidR="00020ABF" w:rsidRPr="002B2DA1">
              <w:rPr>
                <w:rFonts w:asciiTheme="minorHAnsi" w:hAnsiTheme="minorHAnsi"/>
                <w:b w:val="0"/>
                <w:sz w:val="22"/>
                <w:szCs w:val="22"/>
              </w:rPr>
              <w:t xml:space="preserve"> are too small to make a difference or affect the reliability of information may be omitted because they are </w:t>
            </w:r>
            <w:r w:rsidR="00020ABF" w:rsidRPr="002B2DA1">
              <w:rPr>
                <w:rFonts w:asciiTheme="minorHAnsi" w:hAnsiTheme="minorHAnsi"/>
                <w:b w:val="0"/>
                <w:sz w:val="22"/>
                <w:szCs w:val="22"/>
              </w:rPr>
              <w:lastRenderedPageBreak/>
              <w:t xml:space="preserve">immaterial. In addition to magnitude, the nature of the item is considered when making a materiality judgment. For reporting purposes that require the level of materiality to be quantified, materiality </w:t>
            </w:r>
            <w:r w:rsidR="00250FA9">
              <w:rPr>
                <w:rFonts w:asciiTheme="minorHAnsi" w:hAnsiTheme="minorHAnsi"/>
                <w:b w:val="0"/>
                <w:sz w:val="22"/>
                <w:szCs w:val="22"/>
              </w:rPr>
              <w:t>must</w:t>
            </w:r>
            <w:r w:rsidR="00020ABF" w:rsidRPr="002B2DA1">
              <w:rPr>
                <w:rFonts w:asciiTheme="minorHAnsi" w:hAnsiTheme="minorHAnsi"/>
                <w:b w:val="0"/>
                <w:sz w:val="22"/>
                <w:szCs w:val="22"/>
              </w:rPr>
              <w:t xml:space="preserve"> be defined as one percent of the total assets in the </w:t>
            </w:r>
            <w:r w:rsidR="00250FA9">
              <w:rPr>
                <w:rFonts w:asciiTheme="minorHAnsi" w:hAnsiTheme="minorHAnsi"/>
                <w:b w:val="0"/>
                <w:sz w:val="22"/>
                <w:szCs w:val="22"/>
              </w:rPr>
              <w:t>B</w:t>
            </w:r>
            <w:r w:rsidR="00020ABF" w:rsidRPr="002B2DA1">
              <w:rPr>
                <w:rFonts w:asciiTheme="minorHAnsi" w:hAnsiTheme="minorHAnsi"/>
                <w:b w:val="0"/>
                <w:sz w:val="22"/>
                <w:szCs w:val="22"/>
              </w:rPr>
              <w:t xml:space="preserve">alance </w:t>
            </w:r>
            <w:r w:rsidR="00250FA9">
              <w:rPr>
                <w:rFonts w:asciiTheme="minorHAnsi" w:hAnsiTheme="minorHAnsi"/>
                <w:b w:val="0"/>
                <w:sz w:val="22"/>
                <w:szCs w:val="22"/>
              </w:rPr>
              <w:t>S</w:t>
            </w:r>
            <w:r w:rsidR="00020ABF" w:rsidRPr="002B2DA1">
              <w:rPr>
                <w:rFonts w:asciiTheme="minorHAnsi" w:hAnsiTheme="minorHAnsi"/>
                <w:b w:val="0"/>
                <w:sz w:val="22"/>
                <w:szCs w:val="22"/>
              </w:rPr>
              <w:t xml:space="preserve">heet for each NAFI. For those NAF activities required to report on a consolidated basis, </w:t>
            </w:r>
            <w:r w:rsidR="00020ABF" w:rsidRPr="002B2DA1">
              <w:rPr>
                <w:rFonts w:asciiTheme="minorHAnsi" w:hAnsiTheme="minorHAnsi"/>
                <w:sz w:val="22"/>
                <w:szCs w:val="22"/>
              </w:rPr>
              <w:t xml:space="preserve">the threshold of materiality </w:t>
            </w:r>
            <w:r w:rsidR="00250FA9">
              <w:rPr>
                <w:rFonts w:asciiTheme="minorHAnsi" w:hAnsiTheme="minorHAnsi"/>
                <w:sz w:val="22"/>
                <w:szCs w:val="22"/>
              </w:rPr>
              <w:t>must</w:t>
            </w:r>
            <w:r w:rsidR="00020ABF" w:rsidRPr="002B2DA1">
              <w:rPr>
                <w:rFonts w:asciiTheme="minorHAnsi" w:hAnsiTheme="minorHAnsi"/>
                <w:sz w:val="22"/>
                <w:szCs w:val="22"/>
              </w:rPr>
              <w:t xml:space="preserve"> be one percent of the assets in the consolidated </w:t>
            </w:r>
            <w:r w:rsidR="00250FA9">
              <w:rPr>
                <w:rFonts w:asciiTheme="minorHAnsi" w:hAnsiTheme="minorHAnsi"/>
                <w:sz w:val="22"/>
                <w:szCs w:val="22"/>
              </w:rPr>
              <w:t>B</w:t>
            </w:r>
            <w:r w:rsidR="00020ABF" w:rsidRPr="002B2DA1">
              <w:rPr>
                <w:rFonts w:asciiTheme="minorHAnsi" w:hAnsiTheme="minorHAnsi"/>
                <w:sz w:val="22"/>
                <w:szCs w:val="22"/>
              </w:rPr>
              <w:t xml:space="preserve">alance </w:t>
            </w:r>
            <w:r w:rsidR="00250FA9">
              <w:rPr>
                <w:rFonts w:asciiTheme="minorHAnsi" w:hAnsiTheme="minorHAnsi"/>
                <w:sz w:val="22"/>
                <w:szCs w:val="22"/>
              </w:rPr>
              <w:t>S</w:t>
            </w:r>
            <w:r w:rsidR="00020ABF" w:rsidRPr="002B2DA1">
              <w:rPr>
                <w:rFonts w:asciiTheme="minorHAnsi" w:hAnsiTheme="minorHAnsi"/>
                <w:sz w:val="22"/>
                <w:szCs w:val="22"/>
              </w:rPr>
              <w:t>heet.</w:t>
            </w:r>
            <w:r w:rsidR="00020ABF" w:rsidRPr="002B2DA1">
              <w:rPr>
                <w:rFonts w:asciiTheme="minorHAnsi" w:hAnsiTheme="minorHAnsi"/>
                <w:b w:val="0"/>
                <w:sz w:val="22"/>
                <w:szCs w:val="22"/>
              </w:rPr>
              <w:t xml:space="preserve"> </w:t>
            </w:r>
          </w:p>
        </w:tc>
        <w:tc>
          <w:tcPr>
            <w:tcW w:w="1710" w:type="dxa"/>
          </w:tcPr>
          <w:p w14:paraId="121B8C31" w14:textId="77777777" w:rsidR="00020ABF" w:rsidRPr="002B2DA1" w:rsidRDefault="00020ABF" w:rsidP="00020ABF">
            <w:pPr>
              <w:cnfStyle w:val="000000100000" w:firstRow="0" w:lastRow="0" w:firstColumn="0" w:lastColumn="0" w:oddVBand="0" w:evenVBand="0" w:oddHBand="1" w:evenHBand="0" w:firstRowFirstColumn="0" w:firstRowLastColumn="0" w:lastRowFirstColumn="0" w:lastRowLastColumn="0"/>
              <w:rPr>
                <w:szCs w:val="22"/>
              </w:rPr>
            </w:pPr>
            <w:r w:rsidRPr="002B2DA1">
              <w:rPr>
                <w:rFonts w:asciiTheme="minorHAnsi" w:hAnsiTheme="minorHAnsi" w:cs="Times New Roman"/>
                <w:szCs w:val="22"/>
              </w:rPr>
              <w:lastRenderedPageBreak/>
              <w:t>Follows Current Guidance</w:t>
            </w:r>
          </w:p>
        </w:tc>
        <w:tc>
          <w:tcPr>
            <w:tcW w:w="1530" w:type="dxa"/>
          </w:tcPr>
          <w:p w14:paraId="121B8C32" w14:textId="77777777" w:rsidR="00020ABF" w:rsidRPr="002B2DA1" w:rsidRDefault="00020ABF" w:rsidP="00020ABF">
            <w:pPr>
              <w:cnfStyle w:val="000000100000" w:firstRow="0" w:lastRow="0" w:firstColumn="0" w:lastColumn="0" w:oddVBand="0" w:evenVBand="0" w:oddHBand="1" w:evenHBand="0" w:firstRowFirstColumn="0" w:firstRowLastColumn="0" w:lastRowFirstColumn="0" w:lastRowLastColumn="0"/>
              <w:rPr>
                <w:szCs w:val="22"/>
              </w:rPr>
            </w:pPr>
            <w:r w:rsidRPr="002B2DA1">
              <w:rPr>
                <w:rFonts w:asciiTheme="minorHAnsi" w:hAnsiTheme="minorHAnsi" w:cs="Times New Roman"/>
                <w:szCs w:val="22"/>
              </w:rPr>
              <w:t>Follows Current Guidance</w:t>
            </w:r>
          </w:p>
        </w:tc>
        <w:tc>
          <w:tcPr>
            <w:tcW w:w="1890" w:type="dxa"/>
          </w:tcPr>
          <w:p w14:paraId="376A9E9E" w14:textId="77777777" w:rsidR="00517E60" w:rsidRPr="002B2DA1" w:rsidRDefault="00020ABF" w:rsidP="00020ABF">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Cs w:val="22"/>
              </w:rPr>
            </w:pPr>
            <w:r w:rsidRPr="002B2DA1">
              <w:rPr>
                <w:rFonts w:asciiTheme="minorHAnsi" w:hAnsiTheme="minorHAnsi" w:cs="Times New Roman"/>
                <w:szCs w:val="22"/>
              </w:rPr>
              <w:t xml:space="preserve">Follows </w:t>
            </w:r>
          </w:p>
          <w:p w14:paraId="121B8C33" w14:textId="1053ECCB" w:rsidR="00020ABF" w:rsidRPr="002B2DA1" w:rsidRDefault="00020ABF" w:rsidP="00020ABF">
            <w:pPr>
              <w:cnfStyle w:val="000000100000" w:firstRow="0" w:lastRow="0" w:firstColumn="0" w:lastColumn="0" w:oddVBand="0" w:evenVBand="0" w:oddHBand="1" w:evenHBand="0" w:firstRowFirstColumn="0" w:firstRowLastColumn="0" w:lastRowFirstColumn="0" w:lastRowLastColumn="0"/>
              <w:rPr>
                <w:szCs w:val="22"/>
              </w:rPr>
            </w:pPr>
            <w:r w:rsidRPr="002B2DA1">
              <w:rPr>
                <w:rFonts w:asciiTheme="minorHAnsi" w:hAnsiTheme="minorHAnsi" w:cs="Times New Roman"/>
                <w:szCs w:val="22"/>
              </w:rPr>
              <w:t>Current Guidance</w:t>
            </w:r>
          </w:p>
        </w:tc>
        <w:tc>
          <w:tcPr>
            <w:tcW w:w="1890" w:type="dxa"/>
          </w:tcPr>
          <w:p w14:paraId="0AA5A4A7" w14:textId="77777777" w:rsidR="00517E60" w:rsidRPr="002B2DA1" w:rsidRDefault="00020ABF" w:rsidP="00020ABF">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Cs w:val="22"/>
              </w:rPr>
            </w:pPr>
            <w:r w:rsidRPr="002B2DA1">
              <w:rPr>
                <w:rFonts w:asciiTheme="minorHAnsi" w:hAnsiTheme="minorHAnsi" w:cs="Times New Roman"/>
                <w:szCs w:val="22"/>
              </w:rPr>
              <w:t xml:space="preserve">Follows </w:t>
            </w:r>
          </w:p>
          <w:p w14:paraId="121B8C34" w14:textId="0FAA5C29" w:rsidR="00020ABF" w:rsidRPr="002B2DA1" w:rsidRDefault="00020ABF" w:rsidP="00020ABF">
            <w:pPr>
              <w:cnfStyle w:val="000000100000" w:firstRow="0" w:lastRow="0" w:firstColumn="0" w:lastColumn="0" w:oddVBand="0" w:evenVBand="0" w:oddHBand="1" w:evenHBand="0" w:firstRowFirstColumn="0" w:firstRowLastColumn="0" w:lastRowFirstColumn="0" w:lastRowLastColumn="0"/>
              <w:rPr>
                <w:szCs w:val="22"/>
              </w:rPr>
            </w:pPr>
            <w:r w:rsidRPr="002B2DA1">
              <w:rPr>
                <w:rFonts w:asciiTheme="minorHAnsi" w:hAnsiTheme="minorHAnsi" w:cs="Times New Roman"/>
                <w:szCs w:val="22"/>
              </w:rPr>
              <w:t>Current Guidance</w:t>
            </w:r>
          </w:p>
        </w:tc>
      </w:tr>
      <w:tr w:rsidR="00020ABF" w:rsidRPr="0076168A" w14:paraId="121B8C3C" w14:textId="77777777" w:rsidTr="00ED2634">
        <w:tc>
          <w:tcPr>
            <w:cnfStyle w:val="001000000000" w:firstRow="0" w:lastRow="0" w:firstColumn="1" w:lastColumn="0" w:oddVBand="0" w:evenVBand="0" w:oddHBand="0" w:evenHBand="0" w:firstRowFirstColumn="0" w:firstRowLastColumn="0" w:lastRowFirstColumn="0" w:lastRowLastColumn="0"/>
            <w:tcW w:w="7730" w:type="dxa"/>
          </w:tcPr>
          <w:p w14:paraId="121B8C36" w14:textId="77777777" w:rsidR="00020ABF" w:rsidRPr="002B2DA1" w:rsidRDefault="00020ABF" w:rsidP="00020ABF">
            <w:pPr>
              <w:rPr>
                <w:rFonts w:asciiTheme="minorHAnsi" w:hAnsiTheme="minorHAnsi"/>
                <w:b w:val="0"/>
                <w:bCs w:val="0"/>
                <w:szCs w:val="22"/>
                <w:shd w:val="clear" w:color="auto" w:fill="FFFFFF"/>
              </w:rPr>
            </w:pPr>
            <w:r w:rsidRPr="002B2DA1">
              <w:rPr>
                <w:rFonts w:asciiTheme="minorHAnsi" w:hAnsiTheme="minorHAnsi" w:cs="Times New Roman"/>
                <w:szCs w:val="22"/>
              </w:rPr>
              <w:t xml:space="preserve">GAAP:  </w:t>
            </w:r>
            <w:r w:rsidRPr="002B2DA1">
              <w:rPr>
                <w:rFonts w:asciiTheme="minorHAnsi" w:hAnsiTheme="minorHAnsi" w:cs="Times New Roman"/>
                <w:b w:val="0"/>
                <w:szCs w:val="22"/>
              </w:rPr>
              <w:t>Entities</w:t>
            </w:r>
            <w:r w:rsidRPr="002B2DA1">
              <w:rPr>
                <w:rFonts w:asciiTheme="minorHAnsi" w:hAnsiTheme="minorHAnsi"/>
                <w:b w:val="0"/>
                <w:bCs w:val="0"/>
                <w:szCs w:val="22"/>
                <w:shd w:val="clear" w:color="auto" w:fill="FFFFFF"/>
              </w:rPr>
              <w:t xml:space="preserve"> should account for a prior period adjustment by restating the prior period financial statements. They do so by adjusting the carrying amounts of any impacted assets or liabilities as of the first accounting period presented, with an offset to the beginning </w:t>
            </w:r>
            <w:hyperlink r:id="rId11" w:history="1">
              <w:r w:rsidRPr="002B2DA1">
                <w:rPr>
                  <w:rFonts w:asciiTheme="minorHAnsi" w:hAnsiTheme="minorHAnsi"/>
                  <w:b w:val="0"/>
                  <w:bCs w:val="0"/>
                  <w:szCs w:val="22"/>
                  <w:shd w:val="clear" w:color="auto" w:fill="FFFFFF"/>
                </w:rPr>
                <w:t>retained earnings</w:t>
              </w:r>
            </w:hyperlink>
            <w:r w:rsidRPr="002B2DA1">
              <w:rPr>
                <w:rFonts w:asciiTheme="minorHAnsi" w:hAnsiTheme="minorHAnsi"/>
                <w:b w:val="0"/>
                <w:bCs w:val="0"/>
                <w:szCs w:val="22"/>
                <w:shd w:val="clear" w:color="auto" w:fill="FFFFFF"/>
              </w:rPr>
              <w:t> balance in that same accounting period.</w:t>
            </w:r>
          </w:p>
          <w:p w14:paraId="121B8C37" w14:textId="77777777" w:rsidR="00020ABF" w:rsidRPr="002B2DA1" w:rsidRDefault="00020ABF" w:rsidP="00020ABF">
            <w:pPr>
              <w:rPr>
                <w:rFonts w:asciiTheme="minorHAnsi" w:hAnsiTheme="minorHAnsi" w:cs="Times New Roman"/>
                <w:b w:val="0"/>
                <w:szCs w:val="22"/>
              </w:rPr>
            </w:pPr>
            <w:r w:rsidRPr="002B2DA1">
              <w:rPr>
                <w:rFonts w:asciiTheme="minorHAnsi" w:hAnsiTheme="minorHAnsi"/>
                <w:b w:val="0"/>
                <w:bCs w:val="0"/>
                <w:szCs w:val="22"/>
                <w:shd w:val="clear" w:color="auto" w:fill="FFFFFF"/>
              </w:rPr>
              <w:t>Materiality:  Subject to entities’ discretion</w:t>
            </w:r>
          </w:p>
        </w:tc>
        <w:tc>
          <w:tcPr>
            <w:tcW w:w="1710" w:type="dxa"/>
          </w:tcPr>
          <w:p w14:paraId="121B8C38" w14:textId="77777777" w:rsidR="00020ABF" w:rsidRPr="002B2DA1" w:rsidRDefault="00020ABF" w:rsidP="00020ABF">
            <w:pPr>
              <w:cnfStyle w:val="000000000000" w:firstRow="0" w:lastRow="0" w:firstColumn="0" w:lastColumn="0" w:oddVBand="0" w:evenVBand="0" w:oddHBand="0" w:evenHBand="0" w:firstRowFirstColumn="0" w:firstRowLastColumn="0" w:lastRowFirstColumn="0" w:lastRowLastColumn="0"/>
              <w:rPr>
                <w:szCs w:val="22"/>
              </w:rPr>
            </w:pPr>
            <w:r w:rsidRPr="002B2DA1">
              <w:rPr>
                <w:rFonts w:asciiTheme="minorHAnsi" w:hAnsiTheme="minorHAnsi" w:cs="Times New Roman"/>
                <w:szCs w:val="22"/>
              </w:rPr>
              <w:t>Follows Current Guidance</w:t>
            </w:r>
          </w:p>
        </w:tc>
        <w:tc>
          <w:tcPr>
            <w:tcW w:w="1530" w:type="dxa"/>
          </w:tcPr>
          <w:p w14:paraId="121B8C39" w14:textId="77777777" w:rsidR="00020ABF" w:rsidRPr="002B2DA1" w:rsidRDefault="00020ABF" w:rsidP="00020ABF">
            <w:pPr>
              <w:cnfStyle w:val="000000000000" w:firstRow="0" w:lastRow="0" w:firstColumn="0" w:lastColumn="0" w:oddVBand="0" w:evenVBand="0" w:oddHBand="0" w:evenHBand="0" w:firstRowFirstColumn="0" w:firstRowLastColumn="0" w:lastRowFirstColumn="0" w:lastRowLastColumn="0"/>
              <w:rPr>
                <w:szCs w:val="22"/>
              </w:rPr>
            </w:pPr>
            <w:r w:rsidRPr="002B2DA1">
              <w:rPr>
                <w:rFonts w:asciiTheme="minorHAnsi" w:hAnsiTheme="minorHAnsi" w:cs="Times New Roman"/>
                <w:szCs w:val="22"/>
              </w:rPr>
              <w:t>Follows Current Guidance</w:t>
            </w:r>
          </w:p>
        </w:tc>
        <w:tc>
          <w:tcPr>
            <w:tcW w:w="1890" w:type="dxa"/>
          </w:tcPr>
          <w:p w14:paraId="3ECB403E" w14:textId="77777777" w:rsidR="00517E60" w:rsidRPr="002B2DA1" w:rsidRDefault="00020ABF" w:rsidP="00020ABF">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Cs w:val="22"/>
              </w:rPr>
            </w:pPr>
            <w:r w:rsidRPr="002B2DA1">
              <w:rPr>
                <w:rFonts w:asciiTheme="minorHAnsi" w:hAnsiTheme="minorHAnsi" w:cs="Times New Roman"/>
                <w:szCs w:val="22"/>
              </w:rPr>
              <w:t xml:space="preserve">Follows </w:t>
            </w:r>
          </w:p>
          <w:p w14:paraId="121B8C3A" w14:textId="166C4FFC" w:rsidR="00020ABF" w:rsidRPr="002B2DA1" w:rsidRDefault="00020ABF" w:rsidP="00020ABF">
            <w:pPr>
              <w:cnfStyle w:val="000000000000" w:firstRow="0" w:lastRow="0" w:firstColumn="0" w:lastColumn="0" w:oddVBand="0" w:evenVBand="0" w:oddHBand="0" w:evenHBand="0" w:firstRowFirstColumn="0" w:firstRowLastColumn="0" w:lastRowFirstColumn="0" w:lastRowLastColumn="0"/>
              <w:rPr>
                <w:szCs w:val="22"/>
              </w:rPr>
            </w:pPr>
            <w:r w:rsidRPr="002B2DA1">
              <w:rPr>
                <w:rFonts w:asciiTheme="minorHAnsi" w:hAnsiTheme="minorHAnsi" w:cs="Times New Roman"/>
                <w:szCs w:val="22"/>
              </w:rPr>
              <w:t>Current Guidance</w:t>
            </w:r>
          </w:p>
        </w:tc>
        <w:tc>
          <w:tcPr>
            <w:tcW w:w="1890" w:type="dxa"/>
          </w:tcPr>
          <w:p w14:paraId="0845A245" w14:textId="77777777" w:rsidR="00517E60" w:rsidRPr="002B2DA1" w:rsidRDefault="00020ABF" w:rsidP="00020ABF">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Cs w:val="22"/>
              </w:rPr>
            </w:pPr>
            <w:r w:rsidRPr="002B2DA1">
              <w:rPr>
                <w:rFonts w:asciiTheme="minorHAnsi" w:hAnsiTheme="minorHAnsi" w:cs="Times New Roman"/>
                <w:szCs w:val="22"/>
              </w:rPr>
              <w:t xml:space="preserve">Follows </w:t>
            </w:r>
          </w:p>
          <w:p w14:paraId="121B8C3B" w14:textId="726ED541" w:rsidR="00020ABF" w:rsidRPr="002B2DA1" w:rsidRDefault="00020ABF" w:rsidP="00020ABF">
            <w:pPr>
              <w:cnfStyle w:val="000000000000" w:firstRow="0" w:lastRow="0" w:firstColumn="0" w:lastColumn="0" w:oddVBand="0" w:evenVBand="0" w:oddHBand="0" w:evenHBand="0" w:firstRowFirstColumn="0" w:firstRowLastColumn="0" w:lastRowFirstColumn="0" w:lastRowLastColumn="0"/>
              <w:rPr>
                <w:szCs w:val="22"/>
              </w:rPr>
            </w:pPr>
            <w:r w:rsidRPr="002B2DA1">
              <w:rPr>
                <w:rFonts w:asciiTheme="minorHAnsi" w:hAnsiTheme="minorHAnsi" w:cs="Times New Roman"/>
                <w:szCs w:val="22"/>
              </w:rPr>
              <w:t>Current Guidance</w:t>
            </w:r>
          </w:p>
        </w:tc>
      </w:tr>
      <w:tr w:rsidR="00020ABF" w:rsidRPr="0076168A" w14:paraId="121B8C42" w14:textId="77777777" w:rsidTr="00ED26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30" w:type="dxa"/>
          </w:tcPr>
          <w:p w14:paraId="121B8C3D" w14:textId="6CBF6687" w:rsidR="00020ABF" w:rsidRPr="002B2DA1" w:rsidRDefault="00020ABF" w:rsidP="00020ABF">
            <w:pPr>
              <w:autoSpaceDE w:val="0"/>
              <w:autoSpaceDN w:val="0"/>
              <w:adjustRightInd w:val="0"/>
              <w:rPr>
                <w:rFonts w:asciiTheme="minorHAnsi" w:hAnsiTheme="minorHAnsi" w:cs="Times New Roman"/>
                <w:szCs w:val="22"/>
              </w:rPr>
            </w:pPr>
            <w:r w:rsidRPr="002B2DA1">
              <w:rPr>
                <w:rFonts w:asciiTheme="minorHAnsi" w:hAnsiTheme="minorHAnsi" w:cs="Times New Roman"/>
                <w:szCs w:val="22"/>
              </w:rPr>
              <w:t>FASAB Handbook version 1</w:t>
            </w:r>
            <w:r w:rsidR="00B84B4D" w:rsidRPr="002B2DA1">
              <w:rPr>
                <w:rFonts w:asciiTheme="minorHAnsi" w:hAnsiTheme="minorHAnsi" w:cs="Times New Roman"/>
                <w:szCs w:val="22"/>
              </w:rPr>
              <w:t>6</w:t>
            </w:r>
            <w:r w:rsidRPr="002B2DA1">
              <w:rPr>
                <w:rFonts w:asciiTheme="minorHAnsi" w:hAnsiTheme="minorHAnsi" w:cs="Times New Roman"/>
                <w:szCs w:val="22"/>
              </w:rPr>
              <w:t xml:space="preserve">:  </w:t>
            </w:r>
            <w:r w:rsidRPr="002B2DA1">
              <w:rPr>
                <w:rFonts w:asciiTheme="minorHAnsi" w:hAnsiTheme="minorHAnsi" w:cs="Times New Roman"/>
                <w:b w:val="0"/>
                <w:szCs w:val="22"/>
              </w:rPr>
              <w:t>Silent on Treatment</w:t>
            </w:r>
          </w:p>
        </w:tc>
        <w:tc>
          <w:tcPr>
            <w:tcW w:w="1710" w:type="dxa"/>
          </w:tcPr>
          <w:p w14:paraId="121B8C3E" w14:textId="77777777" w:rsidR="00020ABF" w:rsidRPr="002B2DA1" w:rsidRDefault="00020ABF" w:rsidP="00020ABF">
            <w:pPr>
              <w:cnfStyle w:val="000000100000" w:firstRow="0" w:lastRow="0" w:firstColumn="0" w:lastColumn="0" w:oddVBand="0" w:evenVBand="0" w:oddHBand="1" w:evenHBand="0" w:firstRowFirstColumn="0" w:firstRowLastColumn="0" w:lastRowFirstColumn="0" w:lastRowLastColumn="0"/>
              <w:rPr>
                <w:szCs w:val="22"/>
              </w:rPr>
            </w:pPr>
            <w:r w:rsidRPr="002B2DA1">
              <w:rPr>
                <w:rFonts w:asciiTheme="minorHAnsi" w:hAnsiTheme="minorHAnsi" w:cs="Times New Roman"/>
                <w:szCs w:val="22"/>
              </w:rPr>
              <w:t>Follows Current Guidance</w:t>
            </w:r>
          </w:p>
        </w:tc>
        <w:tc>
          <w:tcPr>
            <w:tcW w:w="1530" w:type="dxa"/>
          </w:tcPr>
          <w:p w14:paraId="121B8C3F" w14:textId="77777777" w:rsidR="00020ABF" w:rsidRPr="002B2DA1" w:rsidRDefault="00020ABF" w:rsidP="00020ABF">
            <w:pPr>
              <w:cnfStyle w:val="000000100000" w:firstRow="0" w:lastRow="0" w:firstColumn="0" w:lastColumn="0" w:oddVBand="0" w:evenVBand="0" w:oddHBand="1" w:evenHBand="0" w:firstRowFirstColumn="0" w:firstRowLastColumn="0" w:lastRowFirstColumn="0" w:lastRowLastColumn="0"/>
              <w:rPr>
                <w:szCs w:val="22"/>
              </w:rPr>
            </w:pPr>
            <w:r w:rsidRPr="002B2DA1">
              <w:rPr>
                <w:rFonts w:asciiTheme="minorHAnsi" w:hAnsiTheme="minorHAnsi" w:cs="Times New Roman"/>
                <w:szCs w:val="22"/>
              </w:rPr>
              <w:t>Follows Current Guidance</w:t>
            </w:r>
          </w:p>
        </w:tc>
        <w:tc>
          <w:tcPr>
            <w:tcW w:w="1890" w:type="dxa"/>
          </w:tcPr>
          <w:p w14:paraId="76AB20B0" w14:textId="77777777" w:rsidR="00517E60" w:rsidRPr="002B2DA1" w:rsidRDefault="00020ABF" w:rsidP="00020ABF">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Cs w:val="22"/>
              </w:rPr>
            </w:pPr>
            <w:r w:rsidRPr="002B2DA1">
              <w:rPr>
                <w:rFonts w:asciiTheme="minorHAnsi" w:hAnsiTheme="minorHAnsi" w:cs="Times New Roman"/>
                <w:szCs w:val="22"/>
              </w:rPr>
              <w:t xml:space="preserve">Follows </w:t>
            </w:r>
          </w:p>
          <w:p w14:paraId="121B8C40" w14:textId="1E1205B0" w:rsidR="00020ABF" w:rsidRPr="002B2DA1" w:rsidRDefault="00020ABF" w:rsidP="00020ABF">
            <w:pPr>
              <w:cnfStyle w:val="000000100000" w:firstRow="0" w:lastRow="0" w:firstColumn="0" w:lastColumn="0" w:oddVBand="0" w:evenVBand="0" w:oddHBand="1" w:evenHBand="0" w:firstRowFirstColumn="0" w:firstRowLastColumn="0" w:lastRowFirstColumn="0" w:lastRowLastColumn="0"/>
              <w:rPr>
                <w:szCs w:val="22"/>
              </w:rPr>
            </w:pPr>
            <w:r w:rsidRPr="002B2DA1">
              <w:rPr>
                <w:rFonts w:asciiTheme="minorHAnsi" w:hAnsiTheme="minorHAnsi" w:cs="Times New Roman"/>
                <w:szCs w:val="22"/>
              </w:rPr>
              <w:t>Current Guidance</w:t>
            </w:r>
          </w:p>
        </w:tc>
        <w:tc>
          <w:tcPr>
            <w:tcW w:w="1890" w:type="dxa"/>
          </w:tcPr>
          <w:p w14:paraId="2CA4F533" w14:textId="77777777" w:rsidR="00517E60" w:rsidRPr="002B2DA1" w:rsidRDefault="00020ABF" w:rsidP="00020ABF">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Cs w:val="22"/>
              </w:rPr>
            </w:pPr>
            <w:r w:rsidRPr="002B2DA1">
              <w:rPr>
                <w:rFonts w:asciiTheme="minorHAnsi" w:hAnsiTheme="minorHAnsi" w:cs="Times New Roman"/>
                <w:szCs w:val="22"/>
              </w:rPr>
              <w:t xml:space="preserve">Follows </w:t>
            </w:r>
          </w:p>
          <w:p w14:paraId="121B8C41" w14:textId="4F5F79AC" w:rsidR="00020ABF" w:rsidRPr="002B2DA1" w:rsidRDefault="00020ABF" w:rsidP="00020ABF">
            <w:pPr>
              <w:cnfStyle w:val="000000100000" w:firstRow="0" w:lastRow="0" w:firstColumn="0" w:lastColumn="0" w:oddVBand="0" w:evenVBand="0" w:oddHBand="1" w:evenHBand="0" w:firstRowFirstColumn="0" w:firstRowLastColumn="0" w:lastRowFirstColumn="0" w:lastRowLastColumn="0"/>
              <w:rPr>
                <w:szCs w:val="22"/>
              </w:rPr>
            </w:pPr>
            <w:r w:rsidRPr="002B2DA1">
              <w:rPr>
                <w:rFonts w:asciiTheme="minorHAnsi" w:hAnsiTheme="minorHAnsi" w:cs="Times New Roman"/>
                <w:szCs w:val="22"/>
              </w:rPr>
              <w:t>Current Guidance</w:t>
            </w:r>
          </w:p>
        </w:tc>
      </w:tr>
      <w:tr w:rsidR="00C5185F" w:rsidRPr="0076168A" w14:paraId="121B8C48" w14:textId="77777777" w:rsidTr="00B55DF3">
        <w:tc>
          <w:tcPr>
            <w:cnfStyle w:val="001000000000" w:firstRow="0" w:lastRow="0" w:firstColumn="1" w:lastColumn="0" w:oddVBand="0" w:evenVBand="0" w:oddHBand="0" w:evenHBand="0" w:firstRowFirstColumn="0" w:firstRowLastColumn="0" w:lastRowFirstColumn="0" w:lastRowLastColumn="0"/>
            <w:tcW w:w="7730" w:type="dxa"/>
            <w:shd w:val="clear" w:color="auto" w:fill="auto"/>
          </w:tcPr>
          <w:p w14:paraId="121B8C43" w14:textId="53CDCFBF" w:rsidR="00C5185F" w:rsidRPr="002B2DA1" w:rsidRDefault="00C5185F" w:rsidP="00C5185F">
            <w:pPr>
              <w:rPr>
                <w:rFonts w:asciiTheme="minorHAnsi" w:hAnsiTheme="minorHAnsi" w:cs="Times New Roman"/>
                <w:szCs w:val="22"/>
              </w:rPr>
            </w:pPr>
            <w:r w:rsidRPr="002B2DA1">
              <w:rPr>
                <w:rFonts w:asciiTheme="minorHAnsi" w:hAnsiTheme="minorHAnsi" w:cs="Times New Roman"/>
                <w:szCs w:val="22"/>
              </w:rPr>
              <w:t xml:space="preserve">DoD IG:  </w:t>
            </w:r>
            <w:r w:rsidRPr="002B2DA1">
              <w:rPr>
                <w:rFonts w:asciiTheme="minorHAnsi" w:hAnsiTheme="minorHAnsi" w:cs="Times New Roman"/>
                <w:b w:val="0"/>
                <w:szCs w:val="22"/>
              </w:rPr>
              <w:t>DoDIG audit D-2007-063 March 1, 2007.  The recommendation states," materiality refers to whether the information is significant enough to make a difference to a reasonable person who relies on information. For example, a decision not to disclose information in the financial statements may be made if the amounts involved are too small to make a difference or affect the reliability of the information.  For reporting purposes that require the level of materiality to be quantified, materiality shall be defined as 1 percent of the total assets in the balance sheet for each NAF activity. For those NAF activities required to report on a consolidated basis, the threshold of materiality shall be 1 percent of the assets in the consolidated balance sheet.</w:t>
            </w:r>
            <w:r w:rsidR="008D5099" w:rsidRPr="002B2DA1">
              <w:rPr>
                <w:rFonts w:asciiTheme="minorHAnsi" w:hAnsiTheme="minorHAnsi" w:cs="Times New Roman"/>
                <w:b w:val="0"/>
                <w:szCs w:val="22"/>
              </w:rPr>
              <w:t>”</w:t>
            </w:r>
          </w:p>
        </w:tc>
        <w:tc>
          <w:tcPr>
            <w:tcW w:w="1710" w:type="dxa"/>
            <w:shd w:val="clear" w:color="auto" w:fill="auto"/>
          </w:tcPr>
          <w:p w14:paraId="121B8C44" w14:textId="77777777" w:rsidR="00C5185F" w:rsidRPr="002B2DA1" w:rsidRDefault="00C5185F" w:rsidP="00C5185F">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Cs w:val="22"/>
              </w:rPr>
            </w:pPr>
            <w:r w:rsidRPr="002B2DA1">
              <w:rPr>
                <w:rFonts w:asciiTheme="minorHAnsi" w:hAnsiTheme="minorHAnsi" w:cs="Times New Roman"/>
                <w:szCs w:val="22"/>
              </w:rPr>
              <w:t>Follows Alternative Guidance</w:t>
            </w:r>
          </w:p>
        </w:tc>
        <w:tc>
          <w:tcPr>
            <w:tcW w:w="1530" w:type="dxa"/>
            <w:shd w:val="clear" w:color="auto" w:fill="auto"/>
          </w:tcPr>
          <w:p w14:paraId="121B8C45" w14:textId="77777777" w:rsidR="00C5185F" w:rsidRPr="002B2DA1" w:rsidRDefault="00C5185F" w:rsidP="00C5185F">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Cs w:val="22"/>
              </w:rPr>
            </w:pPr>
            <w:r w:rsidRPr="002B2DA1">
              <w:rPr>
                <w:rFonts w:asciiTheme="minorHAnsi" w:hAnsiTheme="minorHAnsi" w:cs="Times New Roman"/>
                <w:szCs w:val="22"/>
              </w:rPr>
              <w:t>Follows Alternative Guidance</w:t>
            </w:r>
          </w:p>
        </w:tc>
        <w:tc>
          <w:tcPr>
            <w:tcW w:w="1890" w:type="dxa"/>
            <w:shd w:val="clear" w:color="auto" w:fill="auto"/>
          </w:tcPr>
          <w:p w14:paraId="121B8C46" w14:textId="77777777" w:rsidR="00C5185F" w:rsidRPr="002B2DA1" w:rsidRDefault="00C5185F" w:rsidP="00C5185F">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Cs w:val="22"/>
              </w:rPr>
            </w:pPr>
            <w:r w:rsidRPr="002B2DA1">
              <w:rPr>
                <w:rFonts w:asciiTheme="minorHAnsi" w:hAnsiTheme="minorHAnsi" w:cs="Times New Roman"/>
                <w:szCs w:val="22"/>
              </w:rPr>
              <w:t>Follows Alternative Guidance</w:t>
            </w:r>
          </w:p>
        </w:tc>
        <w:tc>
          <w:tcPr>
            <w:tcW w:w="1890" w:type="dxa"/>
            <w:shd w:val="clear" w:color="auto" w:fill="auto"/>
          </w:tcPr>
          <w:p w14:paraId="121B8C47" w14:textId="77777777" w:rsidR="00C5185F" w:rsidRPr="002B2DA1" w:rsidRDefault="00C5185F" w:rsidP="00C5185F">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Cs w:val="22"/>
              </w:rPr>
            </w:pPr>
            <w:r w:rsidRPr="002B2DA1">
              <w:rPr>
                <w:rFonts w:asciiTheme="minorHAnsi" w:hAnsiTheme="minorHAnsi" w:cs="Times New Roman"/>
                <w:szCs w:val="22"/>
              </w:rPr>
              <w:t>Follows Alternative Guidance</w:t>
            </w:r>
          </w:p>
        </w:tc>
      </w:tr>
      <w:tr w:rsidR="00020ABF" w:rsidRPr="0076168A" w14:paraId="121B8C4E" w14:textId="77777777" w:rsidTr="00ED26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30" w:type="dxa"/>
          </w:tcPr>
          <w:p w14:paraId="121B8C49" w14:textId="77777777" w:rsidR="00020ABF" w:rsidRPr="002B2DA1" w:rsidRDefault="00020ABF" w:rsidP="00020ABF">
            <w:pPr>
              <w:rPr>
                <w:rFonts w:asciiTheme="minorHAnsi" w:hAnsiTheme="minorHAnsi" w:cs="Times New Roman"/>
                <w:szCs w:val="22"/>
              </w:rPr>
            </w:pPr>
            <w:r w:rsidRPr="002B2DA1">
              <w:rPr>
                <w:rFonts w:asciiTheme="minorHAnsi" w:hAnsiTheme="minorHAnsi" w:cs="Times New Roman"/>
                <w:szCs w:val="22"/>
              </w:rPr>
              <w:t xml:space="preserve">Industry Practice:  </w:t>
            </w:r>
            <w:r w:rsidRPr="002B2DA1">
              <w:rPr>
                <w:rFonts w:asciiTheme="minorHAnsi" w:hAnsiTheme="minorHAnsi" w:cs="Times New Roman"/>
                <w:b w:val="0"/>
                <w:szCs w:val="22"/>
              </w:rPr>
              <w:t>The correction of an error must be handled as a prior period adjustment to the earliest period reported in the financial statements by an adjustment to the equity account and the related offsetting account.</w:t>
            </w:r>
          </w:p>
        </w:tc>
        <w:tc>
          <w:tcPr>
            <w:tcW w:w="1710" w:type="dxa"/>
          </w:tcPr>
          <w:p w14:paraId="121B8C4A" w14:textId="77777777" w:rsidR="00020ABF" w:rsidRPr="002B2DA1" w:rsidRDefault="00020ABF" w:rsidP="00020ABF">
            <w:pPr>
              <w:cnfStyle w:val="000000100000" w:firstRow="0" w:lastRow="0" w:firstColumn="0" w:lastColumn="0" w:oddVBand="0" w:evenVBand="0" w:oddHBand="1" w:evenHBand="0" w:firstRowFirstColumn="0" w:firstRowLastColumn="0" w:lastRowFirstColumn="0" w:lastRowLastColumn="0"/>
              <w:rPr>
                <w:szCs w:val="22"/>
              </w:rPr>
            </w:pPr>
            <w:r w:rsidRPr="002B2DA1">
              <w:rPr>
                <w:rFonts w:asciiTheme="minorHAnsi" w:hAnsiTheme="minorHAnsi" w:cs="Times New Roman"/>
                <w:szCs w:val="22"/>
              </w:rPr>
              <w:t>Follows Current Guidance</w:t>
            </w:r>
          </w:p>
        </w:tc>
        <w:tc>
          <w:tcPr>
            <w:tcW w:w="1530" w:type="dxa"/>
          </w:tcPr>
          <w:p w14:paraId="121B8C4B" w14:textId="77777777" w:rsidR="00020ABF" w:rsidRPr="002B2DA1" w:rsidRDefault="00020ABF" w:rsidP="00020ABF">
            <w:pPr>
              <w:cnfStyle w:val="000000100000" w:firstRow="0" w:lastRow="0" w:firstColumn="0" w:lastColumn="0" w:oddVBand="0" w:evenVBand="0" w:oddHBand="1" w:evenHBand="0" w:firstRowFirstColumn="0" w:firstRowLastColumn="0" w:lastRowFirstColumn="0" w:lastRowLastColumn="0"/>
              <w:rPr>
                <w:szCs w:val="22"/>
              </w:rPr>
            </w:pPr>
            <w:r w:rsidRPr="002B2DA1">
              <w:rPr>
                <w:rFonts w:asciiTheme="minorHAnsi" w:hAnsiTheme="minorHAnsi" w:cs="Times New Roman"/>
                <w:szCs w:val="22"/>
              </w:rPr>
              <w:t>Follows Current Guidance</w:t>
            </w:r>
          </w:p>
        </w:tc>
        <w:tc>
          <w:tcPr>
            <w:tcW w:w="1890" w:type="dxa"/>
          </w:tcPr>
          <w:p w14:paraId="665E5906" w14:textId="77777777" w:rsidR="00517E60" w:rsidRPr="002B2DA1" w:rsidRDefault="00020ABF" w:rsidP="00020ABF">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Cs w:val="22"/>
              </w:rPr>
            </w:pPr>
            <w:r w:rsidRPr="002B2DA1">
              <w:rPr>
                <w:rFonts w:asciiTheme="minorHAnsi" w:hAnsiTheme="minorHAnsi" w:cs="Times New Roman"/>
                <w:szCs w:val="22"/>
              </w:rPr>
              <w:t xml:space="preserve">Follows </w:t>
            </w:r>
          </w:p>
          <w:p w14:paraId="121B8C4C" w14:textId="4C8A2C65" w:rsidR="00020ABF" w:rsidRPr="002B2DA1" w:rsidRDefault="00020ABF" w:rsidP="00020ABF">
            <w:pPr>
              <w:cnfStyle w:val="000000100000" w:firstRow="0" w:lastRow="0" w:firstColumn="0" w:lastColumn="0" w:oddVBand="0" w:evenVBand="0" w:oddHBand="1" w:evenHBand="0" w:firstRowFirstColumn="0" w:firstRowLastColumn="0" w:lastRowFirstColumn="0" w:lastRowLastColumn="0"/>
              <w:rPr>
                <w:szCs w:val="22"/>
              </w:rPr>
            </w:pPr>
            <w:r w:rsidRPr="002B2DA1">
              <w:rPr>
                <w:rFonts w:asciiTheme="minorHAnsi" w:hAnsiTheme="minorHAnsi" w:cs="Times New Roman"/>
                <w:szCs w:val="22"/>
              </w:rPr>
              <w:t>Current Guidance</w:t>
            </w:r>
          </w:p>
        </w:tc>
        <w:tc>
          <w:tcPr>
            <w:tcW w:w="1890" w:type="dxa"/>
          </w:tcPr>
          <w:p w14:paraId="496C4C09" w14:textId="77777777" w:rsidR="00517E60" w:rsidRPr="002B2DA1" w:rsidRDefault="00020ABF" w:rsidP="00020ABF">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Cs w:val="22"/>
              </w:rPr>
            </w:pPr>
            <w:r w:rsidRPr="002B2DA1">
              <w:rPr>
                <w:rFonts w:asciiTheme="minorHAnsi" w:hAnsiTheme="minorHAnsi" w:cs="Times New Roman"/>
                <w:szCs w:val="22"/>
              </w:rPr>
              <w:t xml:space="preserve">Follows </w:t>
            </w:r>
          </w:p>
          <w:p w14:paraId="475E646F" w14:textId="00F2849B" w:rsidR="00020ABF" w:rsidRPr="002B2DA1" w:rsidRDefault="00020ABF" w:rsidP="00A07449">
            <w:pPr>
              <w:cnfStyle w:val="000000100000" w:firstRow="0" w:lastRow="0" w:firstColumn="0" w:lastColumn="0" w:oddVBand="0" w:evenVBand="0" w:oddHBand="1" w:evenHBand="0" w:firstRowFirstColumn="0" w:firstRowLastColumn="0" w:lastRowFirstColumn="0" w:lastRowLastColumn="0"/>
              <w:rPr>
                <w:szCs w:val="22"/>
              </w:rPr>
            </w:pPr>
            <w:r w:rsidRPr="002B2DA1">
              <w:rPr>
                <w:rFonts w:asciiTheme="minorHAnsi" w:hAnsiTheme="minorHAnsi" w:cs="Times New Roman"/>
                <w:szCs w:val="22"/>
              </w:rPr>
              <w:t>Current Guidance</w:t>
            </w:r>
          </w:p>
        </w:tc>
      </w:tr>
    </w:tbl>
    <w:p w14:paraId="10A0ABA5" w14:textId="77777777" w:rsidR="002B2DA1" w:rsidRDefault="002B2DA1" w:rsidP="00E369DE">
      <w:pPr>
        <w:pStyle w:val="Heading1"/>
        <w:tabs>
          <w:tab w:val="left" w:pos="6675"/>
        </w:tabs>
        <w:ind w:left="-2160" w:firstLine="180"/>
        <w:rPr>
          <w:sz w:val="24"/>
        </w:rPr>
      </w:pPr>
    </w:p>
    <w:p w14:paraId="03FB4D67" w14:textId="667519DB" w:rsidR="00671B99" w:rsidRPr="00E369DE" w:rsidRDefault="00926B80" w:rsidP="00E369DE">
      <w:pPr>
        <w:pStyle w:val="Heading1"/>
        <w:tabs>
          <w:tab w:val="left" w:pos="6675"/>
        </w:tabs>
        <w:ind w:left="-2160" w:firstLine="180"/>
        <w:rPr>
          <w:rFonts w:ascii="Garamond" w:hAnsi="Garamond"/>
          <w:bCs w:val="0"/>
          <w:color w:val="auto"/>
          <w:kern w:val="0"/>
          <w:sz w:val="24"/>
          <w:szCs w:val="20"/>
        </w:rPr>
      </w:pPr>
      <w:r>
        <w:rPr>
          <w:sz w:val="24"/>
        </w:rPr>
        <w:t>Discussion</w:t>
      </w:r>
      <w:r w:rsidRPr="007B3038">
        <w:rPr>
          <w:rFonts w:ascii="Garamond" w:hAnsi="Garamond"/>
          <w:bCs w:val="0"/>
          <w:color w:val="auto"/>
          <w:kern w:val="0"/>
          <w:sz w:val="24"/>
          <w:szCs w:val="20"/>
        </w:rPr>
        <w:t xml:space="preserve"> </w:t>
      </w:r>
    </w:p>
    <w:p w14:paraId="121B8C51" w14:textId="3117101C" w:rsidR="00926B80" w:rsidRDefault="00D82F4F" w:rsidP="00926B80">
      <w:pPr>
        <w:ind w:left="-1440"/>
        <w:rPr>
          <w:sz w:val="24"/>
        </w:rPr>
      </w:pPr>
      <w:r>
        <w:rPr>
          <w:sz w:val="24"/>
        </w:rPr>
        <w:t xml:space="preserve">DoDI 1015.15 is silent on the materiality threshold, FMR </w:t>
      </w:r>
      <w:r w:rsidR="002B2DA1">
        <w:rPr>
          <w:sz w:val="24"/>
        </w:rPr>
        <w:t xml:space="preserve">and DoDIG </w:t>
      </w:r>
      <w:r>
        <w:rPr>
          <w:sz w:val="24"/>
        </w:rPr>
        <w:t>dentifies materiality as one percent (1%)</w:t>
      </w:r>
      <w:r w:rsidR="005C0A12">
        <w:rPr>
          <w:sz w:val="24"/>
        </w:rPr>
        <w:t xml:space="preserve"> </w:t>
      </w:r>
      <w:r>
        <w:rPr>
          <w:sz w:val="24"/>
        </w:rPr>
        <w:t>of the assets in the consolidated balance sheet</w:t>
      </w:r>
      <w:r w:rsidR="001D3D83">
        <w:rPr>
          <w:sz w:val="24"/>
        </w:rPr>
        <w:t xml:space="preserve"> at the Service level</w:t>
      </w:r>
      <w:r>
        <w:rPr>
          <w:sz w:val="24"/>
        </w:rPr>
        <w:t>.</w:t>
      </w:r>
      <w:r w:rsidR="00926B80">
        <w:rPr>
          <w:sz w:val="24"/>
        </w:rPr>
        <w:t xml:space="preserve">  Additionally, best practices and GAAP infer that </w:t>
      </w:r>
      <w:r w:rsidR="007F205D">
        <w:rPr>
          <w:sz w:val="24"/>
        </w:rPr>
        <w:t xml:space="preserve">a </w:t>
      </w:r>
      <w:r w:rsidR="00926B80">
        <w:rPr>
          <w:sz w:val="24"/>
        </w:rPr>
        <w:t>prior year adjustment needs to be material and this amount should be determined by the entity.</w:t>
      </w:r>
      <w:r>
        <w:rPr>
          <w:sz w:val="24"/>
        </w:rPr>
        <w:t xml:space="preserve"> </w:t>
      </w:r>
      <w:r w:rsidR="001B6DBD">
        <w:rPr>
          <w:sz w:val="24"/>
        </w:rPr>
        <w:t>Industry practice is for the entity to determine on a case by case basis whether to charge a prior period expense adjustment as an operations expense or as a SG&amp;A expense.</w:t>
      </w:r>
    </w:p>
    <w:p w14:paraId="121B8C52" w14:textId="0C3B8EBA" w:rsidR="00926B80" w:rsidRDefault="00926B80" w:rsidP="00E369DE">
      <w:pPr>
        <w:ind w:left="-1440"/>
        <w:rPr>
          <w:sz w:val="24"/>
        </w:rPr>
      </w:pPr>
    </w:p>
    <w:p w14:paraId="7523FD68" w14:textId="77777777" w:rsidR="004230CA" w:rsidRDefault="004230CA" w:rsidP="00E369DE">
      <w:pPr>
        <w:ind w:left="-1440"/>
        <w:rPr>
          <w:sz w:val="24"/>
        </w:rPr>
      </w:pPr>
    </w:p>
    <w:p w14:paraId="121B8C54" w14:textId="561CDB6F" w:rsidR="00926B80" w:rsidRDefault="00983C17" w:rsidP="00E369DE">
      <w:pPr>
        <w:pStyle w:val="Heading1"/>
        <w:tabs>
          <w:tab w:val="left" w:pos="6675"/>
        </w:tabs>
        <w:ind w:left="-2160" w:firstLine="180"/>
        <w:rPr>
          <w:sz w:val="24"/>
        </w:rPr>
      </w:pPr>
      <w:r>
        <w:rPr>
          <w:sz w:val="24"/>
        </w:rPr>
        <w:lastRenderedPageBreak/>
        <w:t>Recommendation</w:t>
      </w:r>
      <w:r w:rsidR="00926B80">
        <w:rPr>
          <w:sz w:val="24"/>
        </w:rPr>
        <w:t xml:space="preserve">  </w:t>
      </w:r>
    </w:p>
    <w:p w14:paraId="121B8C55" w14:textId="5CD1C12F" w:rsidR="00D82F4F" w:rsidRDefault="007E4E5C" w:rsidP="00926B80">
      <w:pPr>
        <w:ind w:left="-1440"/>
        <w:rPr>
          <w:sz w:val="24"/>
        </w:rPr>
      </w:pPr>
      <w:r>
        <w:rPr>
          <w:sz w:val="24"/>
        </w:rPr>
        <w:t xml:space="preserve">It is recommended </w:t>
      </w:r>
      <w:r w:rsidR="00D82F4F" w:rsidRPr="00773A0E">
        <w:rPr>
          <w:sz w:val="24"/>
        </w:rPr>
        <w:t>that the</w:t>
      </w:r>
      <w:r w:rsidR="00773A0E" w:rsidRPr="00773A0E">
        <w:rPr>
          <w:sz w:val="24"/>
        </w:rPr>
        <w:t xml:space="preserve"> DoDI 1015.15 be updated to include the one percent (1%) language from the FMR and that the Services ensure their current accounting practices reflect this guidance</w:t>
      </w:r>
      <w:r w:rsidR="002050FD">
        <w:rPr>
          <w:sz w:val="24"/>
        </w:rPr>
        <w:t xml:space="preserve">. </w:t>
      </w:r>
      <w:r w:rsidR="005C0A12">
        <w:rPr>
          <w:sz w:val="24"/>
        </w:rPr>
        <w:t>If</w:t>
      </w:r>
      <w:r>
        <w:rPr>
          <w:sz w:val="24"/>
        </w:rPr>
        <w:t xml:space="preserve"> there is a change to a prior period</w:t>
      </w:r>
      <w:r w:rsidR="005C0A12">
        <w:rPr>
          <w:sz w:val="24"/>
        </w:rPr>
        <w:t xml:space="preserve"> greater than one percent (1%) of the </w:t>
      </w:r>
      <w:r>
        <w:rPr>
          <w:sz w:val="24"/>
        </w:rPr>
        <w:t>assets in</w:t>
      </w:r>
      <w:r w:rsidR="005C0A12">
        <w:rPr>
          <w:sz w:val="24"/>
        </w:rPr>
        <w:t xml:space="preserve"> the consolidated balance sheet</w:t>
      </w:r>
      <w:r w:rsidR="009F7D31">
        <w:rPr>
          <w:sz w:val="24"/>
        </w:rPr>
        <w:t>,</w:t>
      </w:r>
      <w:r>
        <w:rPr>
          <w:sz w:val="24"/>
        </w:rPr>
        <w:t xml:space="preserve"> a prior period adjustment should be performed.  A</w:t>
      </w:r>
      <w:r w:rsidR="00773A0E" w:rsidRPr="00773A0E">
        <w:rPr>
          <w:sz w:val="24"/>
        </w:rPr>
        <w:t xml:space="preserve">dditionally, if a prior period adjustment does not meet this </w:t>
      </w:r>
      <w:r w:rsidR="00F407B2">
        <w:rPr>
          <w:sz w:val="24"/>
        </w:rPr>
        <w:t xml:space="preserve">one percent (1%) </w:t>
      </w:r>
      <w:r w:rsidR="00773A0E" w:rsidRPr="00773A0E">
        <w:rPr>
          <w:sz w:val="24"/>
        </w:rPr>
        <w:t xml:space="preserve">criteria </w:t>
      </w:r>
      <w:r w:rsidR="00AF568D">
        <w:rPr>
          <w:sz w:val="24"/>
        </w:rPr>
        <w:t>but is deemed material,</w:t>
      </w:r>
      <w:r w:rsidR="00773A0E" w:rsidRPr="00773A0E">
        <w:rPr>
          <w:sz w:val="24"/>
        </w:rPr>
        <w:t xml:space="preserve"> the Service </w:t>
      </w:r>
      <w:r w:rsidR="00F407B2">
        <w:rPr>
          <w:sz w:val="24"/>
        </w:rPr>
        <w:t>may</w:t>
      </w:r>
      <w:r w:rsidR="00AF568D">
        <w:rPr>
          <w:sz w:val="24"/>
        </w:rPr>
        <w:t xml:space="preserve"> make a</w:t>
      </w:r>
      <w:r w:rsidR="00F407B2">
        <w:rPr>
          <w:sz w:val="24"/>
        </w:rPr>
        <w:t xml:space="preserve"> prior period</w:t>
      </w:r>
      <w:r w:rsidR="00AF568D">
        <w:rPr>
          <w:sz w:val="24"/>
        </w:rPr>
        <w:t xml:space="preserve"> adjustment</w:t>
      </w:r>
      <w:r w:rsidR="00773A0E" w:rsidRPr="00773A0E">
        <w:rPr>
          <w:sz w:val="24"/>
        </w:rPr>
        <w:t>.</w:t>
      </w:r>
      <w:r w:rsidR="00364E5E">
        <w:rPr>
          <w:sz w:val="24"/>
        </w:rPr>
        <w:t xml:space="preserve"> </w:t>
      </w:r>
    </w:p>
    <w:p w14:paraId="6A2E820F" w14:textId="77777777" w:rsidR="004230CA" w:rsidRDefault="004230CA" w:rsidP="00926B80">
      <w:pPr>
        <w:ind w:left="-1440"/>
        <w:rPr>
          <w:sz w:val="24"/>
        </w:rPr>
      </w:pPr>
    </w:p>
    <w:p w14:paraId="121B8C57" w14:textId="4ACF4DEF" w:rsidR="00926B80" w:rsidRDefault="00926B80" w:rsidP="002B2DA1">
      <w:pPr>
        <w:pStyle w:val="Heading1"/>
        <w:tabs>
          <w:tab w:val="left" w:pos="6675"/>
        </w:tabs>
        <w:spacing w:line="240" w:lineRule="auto"/>
        <w:ind w:left="-2160" w:firstLine="187"/>
        <w:rPr>
          <w:sz w:val="24"/>
        </w:rPr>
      </w:pPr>
      <w:r>
        <w:rPr>
          <w:sz w:val="24"/>
        </w:rPr>
        <w:t>Service C</w:t>
      </w:r>
      <w:r w:rsidR="002B2DA1">
        <w:rPr>
          <w:sz w:val="24"/>
        </w:rPr>
        <w:t>o</w:t>
      </w:r>
      <w:r>
        <w:rPr>
          <w:sz w:val="24"/>
        </w:rPr>
        <w:t>ncurrence</w:t>
      </w:r>
    </w:p>
    <w:tbl>
      <w:tblPr>
        <w:tblStyle w:val="TableGrid"/>
        <w:tblW w:w="0" w:type="auto"/>
        <w:tblInd w:w="-1173" w:type="dxa"/>
        <w:tblLook w:val="04A0" w:firstRow="1" w:lastRow="0" w:firstColumn="1" w:lastColumn="0" w:noHBand="0" w:noVBand="1"/>
      </w:tblPr>
      <w:tblGrid>
        <w:gridCol w:w="2065"/>
        <w:gridCol w:w="2973"/>
        <w:gridCol w:w="8370"/>
      </w:tblGrid>
      <w:tr w:rsidR="00926B80" w14:paraId="121B8C5B" w14:textId="77777777" w:rsidTr="001826FA">
        <w:tc>
          <w:tcPr>
            <w:tcW w:w="206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21B8C58" w14:textId="77777777" w:rsidR="00926B80" w:rsidRDefault="00926B80" w:rsidP="00F923D1">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Service</w:t>
            </w:r>
          </w:p>
        </w:tc>
        <w:tc>
          <w:tcPr>
            <w:tcW w:w="297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21B8C59" w14:textId="77777777" w:rsidR="00926B80" w:rsidRDefault="00926B80" w:rsidP="00F923D1">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Concurrence</w:t>
            </w:r>
          </w:p>
        </w:tc>
        <w:tc>
          <w:tcPr>
            <w:tcW w:w="837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21B8C5A" w14:textId="35201F8E" w:rsidR="00926B80" w:rsidRDefault="00983C17" w:rsidP="00983C17">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Reason</w:t>
            </w:r>
            <w:r w:rsidR="00932F0A">
              <w:rPr>
                <w:rFonts w:asciiTheme="minorHAnsi" w:hAnsiTheme="minorHAnsi" w:cstheme="majorHAnsi"/>
                <w:color w:val="auto"/>
                <w:sz w:val="24"/>
              </w:rPr>
              <w:t xml:space="preserve"> for Non-concurrence</w:t>
            </w:r>
          </w:p>
        </w:tc>
      </w:tr>
      <w:tr w:rsidR="00926B80" w14:paraId="121B8C5F" w14:textId="77777777" w:rsidTr="001826FA">
        <w:trPr>
          <w:trHeight w:val="408"/>
        </w:trPr>
        <w:tc>
          <w:tcPr>
            <w:tcW w:w="2065" w:type="dxa"/>
            <w:tcBorders>
              <w:top w:val="single" w:sz="4" w:space="0" w:color="auto"/>
              <w:left w:val="single" w:sz="4" w:space="0" w:color="auto"/>
              <w:bottom w:val="single" w:sz="4" w:space="0" w:color="auto"/>
              <w:right w:val="single" w:sz="4" w:space="0" w:color="auto"/>
            </w:tcBorders>
            <w:hideMark/>
          </w:tcPr>
          <w:p w14:paraId="121B8C5C" w14:textId="77777777" w:rsidR="00926B80" w:rsidRDefault="00926B80" w:rsidP="00F923D1">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Air Force</w:t>
            </w:r>
          </w:p>
        </w:tc>
        <w:tc>
          <w:tcPr>
            <w:tcW w:w="2973" w:type="dxa"/>
            <w:tcBorders>
              <w:top w:val="single" w:sz="4" w:space="0" w:color="auto"/>
              <w:left w:val="single" w:sz="4" w:space="0" w:color="auto"/>
              <w:bottom w:val="single" w:sz="4" w:space="0" w:color="auto"/>
              <w:right w:val="single" w:sz="4" w:space="0" w:color="auto"/>
            </w:tcBorders>
          </w:tcPr>
          <w:p w14:paraId="2E584A14" w14:textId="77777777" w:rsidR="001826FA" w:rsidRDefault="002B2DA1" w:rsidP="00F923D1">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Concurrence on 9/17/2014</w:t>
            </w:r>
            <w:r w:rsidR="00932F0A">
              <w:rPr>
                <w:rFonts w:asciiTheme="minorHAnsi" w:hAnsiTheme="minorHAnsi" w:cstheme="majorHAnsi"/>
                <w:color w:val="auto"/>
                <w:sz w:val="24"/>
              </w:rPr>
              <w:t xml:space="preserve">. </w:t>
            </w:r>
          </w:p>
          <w:p w14:paraId="121B8C5D" w14:textId="07DC6D43" w:rsidR="00926B80" w:rsidRPr="007D71D3" w:rsidRDefault="00932F0A" w:rsidP="00F923D1">
            <w:pPr>
              <w:pStyle w:val="Heading1"/>
              <w:tabs>
                <w:tab w:val="left" w:pos="6675"/>
              </w:tabs>
              <w:rPr>
                <w:rFonts w:asciiTheme="minorHAnsi" w:hAnsiTheme="minorHAnsi" w:cstheme="majorHAnsi"/>
                <w:b/>
                <w:color w:val="auto"/>
                <w:sz w:val="24"/>
              </w:rPr>
            </w:pPr>
            <w:r w:rsidRPr="007D71D3">
              <w:rPr>
                <w:rFonts w:asciiTheme="minorHAnsi" w:hAnsiTheme="minorHAnsi" w:cstheme="majorHAnsi"/>
                <w:b/>
                <w:color w:val="auto"/>
                <w:sz w:val="24"/>
              </w:rPr>
              <w:t>Re-concurred 9/20/2018.</w:t>
            </w:r>
          </w:p>
        </w:tc>
        <w:tc>
          <w:tcPr>
            <w:tcW w:w="8370" w:type="dxa"/>
            <w:tcBorders>
              <w:top w:val="single" w:sz="4" w:space="0" w:color="auto"/>
              <w:left w:val="single" w:sz="4" w:space="0" w:color="auto"/>
              <w:bottom w:val="single" w:sz="4" w:space="0" w:color="auto"/>
              <w:right w:val="single" w:sz="4" w:space="0" w:color="auto"/>
            </w:tcBorders>
          </w:tcPr>
          <w:p w14:paraId="121B8C5E" w14:textId="09967C98" w:rsidR="00926B80" w:rsidRDefault="00926B80" w:rsidP="00F923D1">
            <w:pPr>
              <w:pStyle w:val="Heading1"/>
              <w:tabs>
                <w:tab w:val="left" w:pos="6675"/>
              </w:tabs>
              <w:rPr>
                <w:rFonts w:asciiTheme="minorHAnsi" w:hAnsiTheme="minorHAnsi" w:cstheme="majorHAnsi"/>
                <w:color w:val="auto"/>
                <w:sz w:val="24"/>
              </w:rPr>
            </w:pPr>
          </w:p>
        </w:tc>
      </w:tr>
      <w:tr w:rsidR="00926B80" w14:paraId="121B8C63" w14:textId="77777777" w:rsidTr="001826FA">
        <w:trPr>
          <w:trHeight w:val="435"/>
        </w:trPr>
        <w:tc>
          <w:tcPr>
            <w:tcW w:w="2065" w:type="dxa"/>
            <w:tcBorders>
              <w:top w:val="single" w:sz="4" w:space="0" w:color="auto"/>
              <w:left w:val="single" w:sz="4" w:space="0" w:color="auto"/>
              <w:bottom w:val="single" w:sz="4" w:space="0" w:color="auto"/>
              <w:right w:val="single" w:sz="4" w:space="0" w:color="auto"/>
            </w:tcBorders>
            <w:hideMark/>
          </w:tcPr>
          <w:p w14:paraId="121B8C60" w14:textId="77777777" w:rsidR="00926B80" w:rsidRDefault="00926B80" w:rsidP="00F923D1">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Army</w:t>
            </w:r>
          </w:p>
        </w:tc>
        <w:tc>
          <w:tcPr>
            <w:tcW w:w="2973" w:type="dxa"/>
            <w:tcBorders>
              <w:top w:val="single" w:sz="4" w:space="0" w:color="auto"/>
              <w:left w:val="single" w:sz="4" w:space="0" w:color="auto"/>
              <w:bottom w:val="single" w:sz="4" w:space="0" w:color="auto"/>
              <w:right w:val="single" w:sz="4" w:space="0" w:color="auto"/>
            </w:tcBorders>
          </w:tcPr>
          <w:p w14:paraId="4BE480E8" w14:textId="77777777" w:rsidR="00926B80" w:rsidRDefault="002B2DA1" w:rsidP="00F923D1">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Concurrence on 9/24/2014</w:t>
            </w:r>
            <w:r w:rsidR="00932F0A">
              <w:rPr>
                <w:rFonts w:asciiTheme="minorHAnsi" w:hAnsiTheme="minorHAnsi" w:cstheme="majorHAnsi"/>
                <w:color w:val="auto"/>
                <w:sz w:val="24"/>
              </w:rPr>
              <w:t>.</w:t>
            </w:r>
          </w:p>
          <w:p w14:paraId="121B8C61" w14:textId="5BE75048" w:rsidR="00932F0A" w:rsidRPr="007D71D3" w:rsidRDefault="00932F0A" w:rsidP="00932F0A">
            <w:pPr>
              <w:pStyle w:val="BodyText"/>
              <w:spacing w:after="0"/>
              <w:rPr>
                <w:b/>
              </w:rPr>
            </w:pPr>
            <w:r w:rsidRPr="007D71D3">
              <w:rPr>
                <w:b/>
              </w:rPr>
              <w:t>Re-concurred 9/20/2018.</w:t>
            </w:r>
          </w:p>
        </w:tc>
        <w:tc>
          <w:tcPr>
            <w:tcW w:w="8370" w:type="dxa"/>
            <w:tcBorders>
              <w:top w:val="single" w:sz="4" w:space="0" w:color="auto"/>
              <w:left w:val="single" w:sz="4" w:space="0" w:color="auto"/>
              <w:bottom w:val="single" w:sz="4" w:space="0" w:color="auto"/>
              <w:right w:val="single" w:sz="4" w:space="0" w:color="auto"/>
            </w:tcBorders>
          </w:tcPr>
          <w:p w14:paraId="121B8C62" w14:textId="0E73D22D" w:rsidR="00926B80" w:rsidRDefault="00926B80" w:rsidP="00F923D1">
            <w:pPr>
              <w:pStyle w:val="Heading1"/>
              <w:tabs>
                <w:tab w:val="left" w:pos="6675"/>
              </w:tabs>
              <w:rPr>
                <w:rFonts w:asciiTheme="minorHAnsi" w:hAnsiTheme="minorHAnsi" w:cstheme="majorHAnsi"/>
                <w:color w:val="auto"/>
                <w:sz w:val="24"/>
              </w:rPr>
            </w:pPr>
          </w:p>
        </w:tc>
      </w:tr>
      <w:tr w:rsidR="00926B80" w14:paraId="121B8C67" w14:textId="77777777" w:rsidTr="001826FA">
        <w:trPr>
          <w:trHeight w:val="444"/>
        </w:trPr>
        <w:tc>
          <w:tcPr>
            <w:tcW w:w="2065" w:type="dxa"/>
            <w:tcBorders>
              <w:top w:val="single" w:sz="4" w:space="0" w:color="auto"/>
              <w:left w:val="single" w:sz="4" w:space="0" w:color="auto"/>
              <w:bottom w:val="single" w:sz="4" w:space="0" w:color="auto"/>
              <w:right w:val="single" w:sz="4" w:space="0" w:color="auto"/>
            </w:tcBorders>
            <w:hideMark/>
          </w:tcPr>
          <w:p w14:paraId="121B8C64" w14:textId="77777777" w:rsidR="00926B80" w:rsidRDefault="00926B80" w:rsidP="00F923D1">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 xml:space="preserve">Marines </w:t>
            </w:r>
          </w:p>
        </w:tc>
        <w:tc>
          <w:tcPr>
            <w:tcW w:w="2973" w:type="dxa"/>
            <w:tcBorders>
              <w:top w:val="single" w:sz="4" w:space="0" w:color="auto"/>
              <w:left w:val="single" w:sz="4" w:space="0" w:color="auto"/>
              <w:bottom w:val="single" w:sz="4" w:space="0" w:color="auto"/>
              <w:right w:val="single" w:sz="4" w:space="0" w:color="auto"/>
            </w:tcBorders>
          </w:tcPr>
          <w:p w14:paraId="742FA7B1" w14:textId="77777777" w:rsidR="00926B80" w:rsidRDefault="002B2DA1" w:rsidP="00F923D1">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Concurrence on 9/01/2014</w:t>
            </w:r>
            <w:r w:rsidR="00932F0A">
              <w:rPr>
                <w:rFonts w:asciiTheme="minorHAnsi" w:hAnsiTheme="minorHAnsi" w:cstheme="majorHAnsi"/>
                <w:color w:val="auto"/>
                <w:sz w:val="24"/>
              </w:rPr>
              <w:t>.</w:t>
            </w:r>
          </w:p>
          <w:p w14:paraId="121B8C65" w14:textId="259063EF" w:rsidR="00932F0A" w:rsidRPr="007D71D3" w:rsidRDefault="00932F0A" w:rsidP="00932F0A">
            <w:pPr>
              <w:pStyle w:val="BodyText"/>
              <w:spacing w:after="0"/>
              <w:rPr>
                <w:b/>
              </w:rPr>
            </w:pPr>
            <w:r w:rsidRPr="007D71D3">
              <w:rPr>
                <w:b/>
              </w:rPr>
              <w:t>Re-concurred 9/20/2018.</w:t>
            </w:r>
          </w:p>
        </w:tc>
        <w:tc>
          <w:tcPr>
            <w:tcW w:w="8370" w:type="dxa"/>
            <w:tcBorders>
              <w:top w:val="single" w:sz="4" w:space="0" w:color="auto"/>
              <w:left w:val="single" w:sz="4" w:space="0" w:color="auto"/>
              <w:bottom w:val="single" w:sz="4" w:space="0" w:color="auto"/>
              <w:right w:val="single" w:sz="4" w:space="0" w:color="auto"/>
            </w:tcBorders>
          </w:tcPr>
          <w:p w14:paraId="121B8C66" w14:textId="33689F27" w:rsidR="00926B80" w:rsidRDefault="00926B80" w:rsidP="00F923D1">
            <w:pPr>
              <w:pStyle w:val="Heading1"/>
              <w:tabs>
                <w:tab w:val="left" w:pos="6675"/>
              </w:tabs>
              <w:rPr>
                <w:rFonts w:asciiTheme="minorHAnsi" w:hAnsiTheme="minorHAnsi" w:cstheme="majorHAnsi"/>
                <w:color w:val="auto"/>
                <w:sz w:val="24"/>
              </w:rPr>
            </w:pPr>
          </w:p>
        </w:tc>
      </w:tr>
      <w:tr w:rsidR="00926B80" w14:paraId="121B8C6B" w14:textId="77777777" w:rsidTr="001826FA">
        <w:trPr>
          <w:trHeight w:val="435"/>
        </w:trPr>
        <w:tc>
          <w:tcPr>
            <w:tcW w:w="2065" w:type="dxa"/>
            <w:tcBorders>
              <w:top w:val="single" w:sz="4" w:space="0" w:color="auto"/>
              <w:left w:val="single" w:sz="4" w:space="0" w:color="auto"/>
              <w:bottom w:val="single" w:sz="4" w:space="0" w:color="auto"/>
              <w:right w:val="single" w:sz="4" w:space="0" w:color="auto"/>
            </w:tcBorders>
            <w:hideMark/>
          </w:tcPr>
          <w:p w14:paraId="121B8C68" w14:textId="77777777" w:rsidR="00926B80" w:rsidRDefault="00926B80" w:rsidP="00F923D1">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Navy</w:t>
            </w:r>
          </w:p>
        </w:tc>
        <w:tc>
          <w:tcPr>
            <w:tcW w:w="2973" w:type="dxa"/>
            <w:tcBorders>
              <w:top w:val="single" w:sz="4" w:space="0" w:color="auto"/>
              <w:left w:val="single" w:sz="4" w:space="0" w:color="auto"/>
              <w:bottom w:val="single" w:sz="4" w:space="0" w:color="auto"/>
              <w:right w:val="single" w:sz="4" w:space="0" w:color="auto"/>
            </w:tcBorders>
          </w:tcPr>
          <w:p w14:paraId="05B20682" w14:textId="77777777" w:rsidR="00926B80" w:rsidRDefault="002B2DA1" w:rsidP="00B062CE">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Concurrence on 9/22/2014</w:t>
            </w:r>
            <w:r w:rsidR="00932F0A">
              <w:rPr>
                <w:rFonts w:asciiTheme="minorHAnsi" w:hAnsiTheme="minorHAnsi" w:cstheme="majorHAnsi"/>
                <w:color w:val="auto"/>
                <w:sz w:val="24"/>
              </w:rPr>
              <w:t>.</w:t>
            </w:r>
          </w:p>
          <w:p w14:paraId="121B8C69" w14:textId="4358AD56" w:rsidR="00932F0A" w:rsidRPr="007D71D3" w:rsidRDefault="00932F0A" w:rsidP="00932F0A">
            <w:pPr>
              <w:pStyle w:val="BodyText"/>
              <w:spacing w:after="0"/>
              <w:rPr>
                <w:b/>
              </w:rPr>
            </w:pPr>
            <w:r w:rsidRPr="007D71D3">
              <w:rPr>
                <w:b/>
              </w:rPr>
              <w:t>Re-concurred 9/20/2018.</w:t>
            </w:r>
          </w:p>
        </w:tc>
        <w:tc>
          <w:tcPr>
            <w:tcW w:w="8370" w:type="dxa"/>
            <w:tcBorders>
              <w:top w:val="single" w:sz="4" w:space="0" w:color="auto"/>
              <w:left w:val="single" w:sz="4" w:space="0" w:color="auto"/>
              <w:bottom w:val="single" w:sz="4" w:space="0" w:color="auto"/>
              <w:right w:val="single" w:sz="4" w:space="0" w:color="auto"/>
            </w:tcBorders>
          </w:tcPr>
          <w:p w14:paraId="121B8C6A" w14:textId="08AEE573" w:rsidR="00926B80" w:rsidRDefault="00426453" w:rsidP="00F923D1">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 xml:space="preserve"> </w:t>
            </w:r>
          </w:p>
        </w:tc>
      </w:tr>
    </w:tbl>
    <w:p w14:paraId="7E81CBEA" w14:textId="4F8B20B9" w:rsidR="00671B99" w:rsidRPr="000D3C52" w:rsidRDefault="00671B99" w:rsidP="00E369DE">
      <w:pPr>
        <w:pStyle w:val="BodyText"/>
        <w:spacing w:after="0"/>
      </w:pPr>
    </w:p>
    <w:p w14:paraId="7448BCA3" w14:textId="77777777" w:rsidR="002B2DA1" w:rsidRDefault="002B2DA1" w:rsidP="002B2DA1">
      <w:pPr>
        <w:pStyle w:val="Heading1"/>
        <w:tabs>
          <w:tab w:val="left" w:pos="6675"/>
        </w:tabs>
        <w:ind w:left="-2160" w:firstLine="180"/>
        <w:rPr>
          <w:sz w:val="24"/>
        </w:rPr>
      </w:pPr>
      <w:r>
        <w:rPr>
          <w:sz w:val="24"/>
        </w:rPr>
        <w:t>USD(P&amp;R)/MC&amp;FP Disposition</w:t>
      </w:r>
    </w:p>
    <w:p w14:paraId="2579AAA9" w14:textId="1606514E" w:rsidR="002B2DA1" w:rsidRPr="00932F0A" w:rsidRDefault="002B2DA1" w:rsidP="00932F0A">
      <w:pPr>
        <w:pStyle w:val="ChapterTitle"/>
        <w:rPr>
          <w:rFonts w:asciiTheme="minorHAnsi" w:hAnsiTheme="minorHAnsi"/>
          <w:sz w:val="24"/>
        </w:rPr>
      </w:pPr>
      <w:r w:rsidRPr="00932F0A">
        <w:rPr>
          <w:rFonts w:asciiTheme="minorHAnsi" w:hAnsiTheme="minorHAnsi"/>
          <w:sz w:val="24"/>
        </w:rPr>
        <w:t>Revise DoDI 1015.15,</w:t>
      </w:r>
      <w:r w:rsidRPr="00932F0A">
        <w:rPr>
          <w:rFonts w:asciiTheme="minorHAnsi" w:hAnsiTheme="minorHAnsi" w:cs="Times New Roman"/>
          <w:sz w:val="24"/>
        </w:rPr>
        <w:t xml:space="preserve"> </w:t>
      </w:r>
      <w:r w:rsidRPr="00932F0A">
        <w:rPr>
          <w:rFonts w:asciiTheme="minorHAnsi" w:hAnsiTheme="minorHAnsi"/>
          <w:sz w:val="24"/>
        </w:rPr>
        <w:t>paragraph 6.4.2.4</w:t>
      </w:r>
      <w:r w:rsidR="006E7D55">
        <w:rPr>
          <w:rFonts w:asciiTheme="minorHAnsi" w:hAnsiTheme="minorHAnsi"/>
          <w:sz w:val="24"/>
        </w:rPr>
        <w:t>.</w:t>
      </w:r>
      <w:r w:rsidRPr="00932F0A">
        <w:rPr>
          <w:rFonts w:asciiTheme="minorHAnsi" w:hAnsiTheme="minorHAnsi"/>
          <w:sz w:val="24"/>
        </w:rPr>
        <w:t xml:space="preserve"> </w:t>
      </w:r>
    </w:p>
    <w:p w14:paraId="4794C92B" w14:textId="77777777" w:rsidR="002B2DA1" w:rsidRDefault="002B2DA1" w:rsidP="002B2DA1">
      <w:pPr>
        <w:rPr>
          <w:sz w:val="24"/>
        </w:rPr>
      </w:pPr>
    </w:p>
    <w:p w14:paraId="31F6642B" w14:textId="77777777" w:rsidR="002B2DA1" w:rsidRDefault="002B2DA1" w:rsidP="002B2DA1">
      <w:pPr>
        <w:ind w:left="-1980"/>
        <w:rPr>
          <w:rFonts w:ascii="Arial Black" w:hAnsi="Arial Black"/>
          <w:b/>
          <w:color w:val="4F2D7F"/>
          <w:sz w:val="24"/>
        </w:rPr>
      </w:pPr>
      <w:r>
        <w:rPr>
          <w:rFonts w:ascii="Arial Black" w:hAnsi="Arial Black"/>
          <w:b/>
          <w:color w:val="4F2D7F"/>
          <w:sz w:val="24"/>
        </w:rPr>
        <w:t>DFAS Disposition</w:t>
      </w:r>
    </w:p>
    <w:p w14:paraId="546D8E87" w14:textId="7A69CCCC" w:rsidR="002B2DA1" w:rsidRPr="00932F0A" w:rsidRDefault="002B2DA1" w:rsidP="00932F0A">
      <w:pPr>
        <w:pStyle w:val="ChapterTitle"/>
        <w:rPr>
          <w:rFonts w:asciiTheme="minorHAnsi" w:hAnsiTheme="minorHAnsi"/>
          <w:b/>
          <w:color w:val="4F2D7F"/>
          <w:sz w:val="24"/>
        </w:rPr>
      </w:pPr>
      <w:r w:rsidRPr="00932F0A">
        <w:rPr>
          <w:rFonts w:asciiTheme="minorHAnsi" w:hAnsiTheme="minorHAnsi"/>
          <w:sz w:val="24"/>
        </w:rPr>
        <w:t>No further action</w:t>
      </w:r>
      <w:r w:rsidR="006E7D55">
        <w:rPr>
          <w:rFonts w:asciiTheme="minorHAnsi" w:hAnsiTheme="minorHAnsi"/>
          <w:sz w:val="24"/>
        </w:rPr>
        <w:t>.</w:t>
      </w:r>
    </w:p>
    <w:p w14:paraId="0A01A0C5" w14:textId="77777777" w:rsidR="002B2DA1" w:rsidRPr="007B3038" w:rsidRDefault="002B2DA1" w:rsidP="002B2DA1">
      <w:pPr>
        <w:rPr>
          <w:sz w:val="24"/>
        </w:rPr>
      </w:pPr>
      <w:r w:rsidRPr="007B3038">
        <w:rPr>
          <w:sz w:val="24"/>
        </w:rPr>
        <w:t xml:space="preserve">       </w:t>
      </w:r>
    </w:p>
    <w:p w14:paraId="7B81633B" w14:textId="77777777" w:rsidR="002B2DA1" w:rsidRDefault="002B2DA1" w:rsidP="002B2DA1">
      <w:pPr>
        <w:pStyle w:val="Heading1"/>
        <w:tabs>
          <w:tab w:val="left" w:pos="6675"/>
        </w:tabs>
        <w:ind w:left="-2160" w:firstLine="180"/>
        <w:rPr>
          <w:sz w:val="24"/>
        </w:rPr>
      </w:pPr>
      <w:r>
        <w:rPr>
          <w:sz w:val="24"/>
        </w:rPr>
        <w:t>Forward to</w:t>
      </w:r>
      <w:r w:rsidRPr="007B3038">
        <w:rPr>
          <w:sz w:val="24"/>
        </w:rPr>
        <w:t xml:space="preserve"> DoD</w:t>
      </w:r>
      <w:r>
        <w:rPr>
          <w:sz w:val="24"/>
        </w:rPr>
        <w:t>IG</w:t>
      </w:r>
      <w:r w:rsidRPr="007B3038">
        <w:rPr>
          <w:sz w:val="24"/>
        </w:rPr>
        <w:t>?</w:t>
      </w:r>
    </w:p>
    <w:p w14:paraId="4DF27482" w14:textId="1AE77990" w:rsidR="006E7D55" w:rsidRPr="00932F0A" w:rsidRDefault="002B2DA1" w:rsidP="00932F0A">
      <w:pPr>
        <w:pStyle w:val="ChapterTitle"/>
        <w:rPr>
          <w:rFonts w:asciiTheme="minorHAnsi" w:hAnsiTheme="minorHAnsi"/>
          <w:sz w:val="24"/>
        </w:rPr>
      </w:pPr>
      <w:r w:rsidRPr="00932F0A">
        <w:rPr>
          <w:rFonts w:asciiTheme="minorHAnsi" w:hAnsiTheme="minorHAnsi"/>
          <w:sz w:val="24"/>
        </w:rPr>
        <w:t>No DoDIG equities</w:t>
      </w:r>
      <w:r w:rsidR="006E7D55">
        <w:rPr>
          <w:rFonts w:asciiTheme="minorHAnsi" w:hAnsiTheme="minorHAnsi"/>
          <w:sz w:val="24"/>
        </w:rPr>
        <w:t>.</w:t>
      </w:r>
    </w:p>
    <w:p w14:paraId="121B8C76" w14:textId="77777777" w:rsidR="006669CE" w:rsidRPr="00F47C97" w:rsidRDefault="006669CE" w:rsidP="006669CE">
      <w:pPr>
        <w:pStyle w:val="Heading1"/>
        <w:tabs>
          <w:tab w:val="left" w:pos="6675"/>
        </w:tabs>
        <w:ind w:left="-2160" w:firstLine="180"/>
        <w:rPr>
          <w:sz w:val="24"/>
        </w:rPr>
      </w:pPr>
    </w:p>
    <w:p w14:paraId="121B8C77" w14:textId="77777777" w:rsidR="00926B80" w:rsidRPr="0076168A" w:rsidRDefault="00926B80" w:rsidP="006669CE">
      <w:pPr>
        <w:pStyle w:val="Heading1"/>
        <w:tabs>
          <w:tab w:val="left" w:pos="6675"/>
        </w:tabs>
        <w:ind w:left="-2160" w:firstLine="180"/>
        <w:rPr>
          <w:rFonts w:asciiTheme="minorHAnsi" w:hAnsiTheme="minorHAnsi"/>
        </w:rPr>
      </w:pPr>
    </w:p>
    <w:sectPr w:rsidR="00926B80" w:rsidRPr="0076168A" w:rsidSect="00BB5F9B">
      <w:headerReference w:type="default" r:id="rId12"/>
      <w:footerReference w:type="default" r:id="rId13"/>
      <w:pgSz w:w="15840" w:h="12240" w:orient="landscape" w:code="1"/>
      <w:pgMar w:top="1985" w:right="821" w:bottom="1138" w:left="2608"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33A589" w14:textId="77777777" w:rsidR="00C57222" w:rsidRDefault="00C57222">
      <w:r>
        <w:separator/>
      </w:r>
    </w:p>
  </w:endnote>
  <w:endnote w:type="continuationSeparator" w:id="0">
    <w:p w14:paraId="47DCB2C6" w14:textId="77777777" w:rsidR="00C57222" w:rsidRDefault="00C57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20940"/>
      <w:docPartObj>
        <w:docPartGallery w:val="Page Numbers (Bottom of Page)"/>
        <w:docPartUnique/>
      </w:docPartObj>
    </w:sdtPr>
    <w:sdtEndPr>
      <w:rPr>
        <w:noProof/>
      </w:rPr>
    </w:sdtEndPr>
    <w:sdtContent>
      <w:p w14:paraId="121B8C7E" w14:textId="1C37342C" w:rsidR="001B3190" w:rsidRDefault="00834B9A" w:rsidP="001B3190">
        <w:pPr>
          <w:pStyle w:val="Footer"/>
          <w:jc w:val="right"/>
          <w:rPr>
            <w:noProof/>
          </w:rPr>
        </w:pPr>
        <w:r>
          <w:fldChar w:fldCharType="begin"/>
        </w:r>
        <w:r>
          <w:instrText xml:space="preserve"> PAGE   \* MERGEFORMAT </w:instrText>
        </w:r>
        <w:r>
          <w:fldChar w:fldCharType="separate"/>
        </w:r>
        <w:r w:rsidR="00F2785E">
          <w:rPr>
            <w:noProof/>
          </w:rPr>
          <w:t>2</w:t>
        </w:r>
        <w:r>
          <w:rPr>
            <w:noProof/>
          </w:rPr>
          <w:fldChar w:fldCharType="end"/>
        </w:r>
      </w:p>
      <w:p w14:paraId="121B8C7F" w14:textId="385C70F2" w:rsidR="00834B9A" w:rsidRDefault="009F7D31" w:rsidP="001B3190">
        <w:pPr>
          <w:pStyle w:val="Footer"/>
          <w:jc w:val="right"/>
        </w:pPr>
        <w:r>
          <w:rPr>
            <w:noProof/>
          </w:rPr>
          <w:t>March</w:t>
        </w:r>
        <w:r w:rsidR="00521FAB">
          <w:rPr>
            <w:noProof/>
          </w:rPr>
          <w:t xml:space="preserve"> </w:t>
        </w:r>
        <w:r>
          <w:rPr>
            <w:noProof/>
          </w:rPr>
          <w:t>13</w:t>
        </w:r>
        <w:r w:rsidR="001B3190">
          <w:rPr>
            <w:noProof/>
          </w:rPr>
          <w:t>, 201</w:t>
        </w:r>
        <w:r>
          <w:rPr>
            <w:noProof/>
          </w:rPr>
          <w:t>8</w:t>
        </w:r>
      </w:p>
    </w:sdtContent>
  </w:sdt>
  <w:p w14:paraId="121B8C80" w14:textId="77777777" w:rsidR="00834B9A" w:rsidRDefault="00834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BE8288" w14:textId="77777777" w:rsidR="00C57222" w:rsidRDefault="00C57222">
      <w:r>
        <w:separator/>
      </w:r>
    </w:p>
  </w:footnote>
  <w:footnote w:type="continuationSeparator" w:id="0">
    <w:p w14:paraId="5AE5FEA5" w14:textId="77777777" w:rsidR="00C57222" w:rsidRDefault="00C572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CD418" w14:textId="77777777" w:rsidR="00981EBD" w:rsidRDefault="00981EBD" w:rsidP="009F7D31">
    <w:pPr>
      <w:pStyle w:val="Header"/>
      <w:ind w:right="1440"/>
      <w:jc w:val="center"/>
      <w:rPr>
        <w:rFonts w:asciiTheme="minorHAnsi" w:hAnsiTheme="minorHAnsi"/>
        <w:sz w:val="32"/>
      </w:rPr>
    </w:pPr>
    <w:r>
      <w:rPr>
        <w:rFonts w:asciiTheme="minorHAnsi" w:hAnsiTheme="minorHAnsi"/>
        <w:sz w:val="32"/>
      </w:rPr>
      <w:t>NAF Accounting Working Group</w:t>
    </w:r>
  </w:p>
  <w:p w14:paraId="121B8C7C" w14:textId="2B915E6F" w:rsidR="00834B9A" w:rsidRDefault="00EE0BCD" w:rsidP="009F7D31">
    <w:pPr>
      <w:pStyle w:val="Header"/>
      <w:ind w:right="1440"/>
      <w:jc w:val="center"/>
      <w:rPr>
        <w:rFonts w:asciiTheme="minorHAnsi" w:hAnsiTheme="minorHAnsi"/>
        <w:sz w:val="32"/>
      </w:rPr>
    </w:pPr>
    <w:r>
      <w:rPr>
        <w:rFonts w:asciiTheme="minorHAnsi" w:hAnsiTheme="minorHAnsi"/>
        <w:sz w:val="32"/>
      </w:rPr>
      <w:t>Prior Period Adjustments</w:t>
    </w:r>
  </w:p>
  <w:p w14:paraId="121B8C7D" w14:textId="02E08745" w:rsidR="00834B9A" w:rsidRPr="00437683" w:rsidRDefault="007245E9" w:rsidP="009F7D31">
    <w:pPr>
      <w:pStyle w:val="Header"/>
      <w:ind w:right="1440"/>
      <w:jc w:val="center"/>
      <w:rPr>
        <w:rFonts w:asciiTheme="minorHAnsi" w:hAnsiTheme="minorHAnsi"/>
        <w:sz w:val="32"/>
      </w:rPr>
    </w:pPr>
    <w:r>
      <w:rPr>
        <w:rFonts w:asciiTheme="minorHAnsi" w:hAnsiTheme="minorHAnsi"/>
        <w:sz w:val="32"/>
      </w:rPr>
      <w:t>Position</w:t>
    </w:r>
    <w:r w:rsidR="00D0530D">
      <w:rPr>
        <w:rFonts w:asciiTheme="minorHAnsi" w:hAnsiTheme="minorHAnsi"/>
        <w:sz w:val="32"/>
      </w:rPr>
      <w:t xml:space="preserve"> </w:t>
    </w:r>
    <w:r w:rsidR="00813D9E">
      <w:rPr>
        <w:rFonts w:asciiTheme="minorHAnsi" w:hAnsiTheme="minorHAnsi"/>
        <w:sz w:val="32"/>
      </w:rPr>
      <w:t>Paper</w:t>
    </w:r>
    <w:r w:rsidR="00834B9A">
      <w:rPr>
        <w:rFonts w:asciiTheme="minorHAnsi" w:hAnsiTheme="minorHAnsi"/>
        <w:sz w:val="32"/>
      </w:rPr>
      <w:t xml:space="preserve"> </w:t>
    </w:r>
    <w:r w:rsidR="00981EBD">
      <w:rPr>
        <w:rFonts w:asciiTheme="minorHAnsi" w:hAnsiTheme="minorHAnsi"/>
        <w:sz w:val="32"/>
      </w:rPr>
      <w:t>#11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D45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C4CFF0"/>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D62AAEE"/>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2629A8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7D64DB6"/>
    <w:lvl w:ilvl="0">
      <w:start w:val="1"/>
      <w:numFmt w:val="bullet"/>
      <w:pStyle w:val="ListBullet3"/>
      <w:lvlText w:val=""/>
      <w:lvlJc w:val="left"/>
      <w:pPr>
        <w:tabs>
          <w:tab w:val="num" w:pos="1588"/>
        </w:tabs>
        <w:ind w:left="1588" w:hanging="908"/>
      </w:pPr>
      <w:rPr>
        <w:rFonts w:ascii="Symbol" w:hAnsi="Symbol" w:hint="default"/>
        <w:color w:val="632163"/>
      </w:rPr>
    </w:lvl>
  </w:abstractNum>
  <w:abstractNum w:abstractNumId="5" w15:restartNumberingAfterBreak="0">
    <w:nsid w:val="058F5F58"/>
    <w:multiLevelType w:val="hybridMultilevel"/>
    <w:tmpl w:val="FC389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CD4187"/>
    <w:multiLevelType w:val="multilevel"/>
    <w:tmpl w:val="693227E4"/>
    <w:lvl w:ilvl="0">
      <w:start w:val="1"/>
      <w:numFmt w:val="bullet"/>
      <w:pStyle w:val="ListBullet"/>
      <w:lvlText w:val=""/>
      <w:lvlJc w:val="left"/>
      <w:pPr>
        <w:tabs>
          <w:tab w:val="num" w:pos="227"/>
        </w:tabs>
        <w:ind w:left="227" w:hanging="227"/>
      </w:pPr>
      <w:rPr>
        <w:rFonts w:ascii="Symbol" w:hAnsi="Symbol" w:hint="default"/>
        <w:color w:val="auto"/>
      </w:rPr>
    </w:lvl>
    <w:lvl w:ilvl="1">
      <w:start w:val="1"/>
      <w:numFmt w:val="bullet"/>
      <w:pStyle w:val="ListBullet2"/>
      <w:lvlText w:val=""/>
      <w:lvlJc w:val="left"/>
      <w:pPr>
        <w:tabs>
          <w:tab w:val="num" w:pos="454"/>
        </w:tabs>
        <w:ind w:left="454" w:hanging="227"/>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0F705FE4"/>
    <w:multiLevelType w:val="hybridMultilevel"/>
    <w:tmpl w:val="C8C6CD4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A03FBA"/>
    <w:multiLevelType w:val="hybridMultilevel"/>
    <w:tmpl w:val="EDB008E6"/>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16AF5E4B"/>
    <w:multiLevelType w:val="multilevel"/>
    <w:tmpl w:val="21865640"/>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6C63987"/>
    <w:multiLevelType w:val="hybridMultilevel"/>
    <w:tmpl w:val="7BA29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662B4F"/>
    <w:multiLevelType w:val="hybridMultilevel"/>
    <w:tmpl w:val="581CB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F90B32"/>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3D545A"/>
    <w:multiLevelType w:val="multilevel"/>
    <w:tmpl w:val="4484EAB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4" w15:restartNumberingAfterBreak="0">
    <w:nsid w:val="36F75EBB"/>
    <w:multiLevelType w:val="hybridMultilevel"/>
    <w:tmpl w:val="E6FAB672"/>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387A6AE0"/>
    <w:multiLevelType w:val="multilevel"/>
    <w:tmpl w:val="917A5788"/>
    <w:lvl w:ilvl="0">
      <w:start w:val="1"/>
      <w:numFmt w:val="decimal"/>
      <w:pStyle w:val="NumberedHeading1"/>
      <w:lvlText w:val="%1"/>
      <w:lvlJc w:val="left"/>
      <w:pPr>
        <w:tabs>
          <w:tab w:val="num" w:pos="851"/>
        </w:tabs>
        <w:ind w:left="851" w:hanging="851"/>
      </w:pPr>
      <w:rPr>
        <w:rFonts w:hint="default"/>
      </w:rPr>
    </w:lvl>
    <w:lvl w:ilvl="1">
      <w:start w:val="1"/>
      <w:numFmt w:val="decimal"/>
      <w:pStyle w:val="NumberedHeading2"/>
      <w:lvlText w:val="%1.%2"/>
      <w:lvlJc w:val="left"/>
      <w:pPr>
        <w:tabs>
          <w:tab w:val="num" w:pos="851"/>
        </w:tabs>
        <w:ind w:left="851" w:hanging="85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9BD34EC"/>
    <w:multiLevelType w:val="hybridMultilevel"/>
    <w:tmpl w:val="FA8A2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AD3DCF"/>
    <w:multiLevelType w:val="hybridMultilevel"/>
    <w:tmpl w:val="B6626D7E"/>
    <w:lvl w:ilvl="0" w:tplc="04090001">
      <w:start w:val="1"/>
      <w:numFmt w:val="bullet"/>
      <w:lvlText w:val=""/>
      <w:lvlJc w:val="left"/>
      <w:pPr>
        <w:ind w:left="720" w:hanging="360"/>
      </w:pPr>
      <w:rPr>
        <w:rFonts w:ascii="Symbol" w:hAnsi="Symbol" w:hint="default"/>
      </w:rPr>
    </w:lvl>
    <w:lvl w:ilvl="1" w:tplc="A11A11A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7F6362"/>
    <w:multiLevelType w:val="hybridMultilevel"/>
    <w:tmpl w:val="E8FC8F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AC654D"/>
    <w:multiLevelType w:val="hybridMultilevel"/>
    <w:tmpl w:val="A53A0D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73F13057"/>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5850D9"/>
    <w:multiLevelType w:val="hybridMultilevel"/>
    <w:tmpl w:val="D5D292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7AAC6626"/>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2"/>
  </w:num>
  <w:num w:numId="3">
    <w:abstractNumId w:val="6"/>
  </w:num>
  <w:num w:numId="4">
    <w:abstractNumId w:val="3"/>
  </w:num>
  <w:num w:numId="5">
    <w:abstractNumId w:val="2"/>
  </w:num>
  <w:num w:numId="6">
    <w:abstractNumId w:val="1"/>
  </w:num>
  <w:num w:numId="7">
    <w:abstractNumId w:val="0"/>
  </w:num>
  <w:num w:numId="8">
    <w:abstractNumId w:val="9"/>
  </w:num>
  <w:num w:numId="9">
    <w:abstractNumId w:val="15"/>
  </w:num>
  <w:num w:numId="10">
    <w:abstractNumId w:val="13"/>
  </w:num>
  <w:num w:numId="11">
    <w:abstractNumId w:val="11"/>
  </w:num>
  <w:num w:numId="12">
    <w:abstractNumId w:val="14"/>
  </w:num>
  <w:num w:numId="13">
    <w:abstractNumId w:val="8"/>
  </w:num>
  <w:num w:numId="14">
    <w:abstractNumId w:val="10"/>
  </w:num>
  <w:num w:numId="15">
    <w:abstractNumId w:val="17"/>
  </w:num>
  <w:num w:numId="16">
    <w:abstractNumId w:val="5"/>
  </w:num>
  <w:num w:numId="17">
    <w:abstractNumId w:val="12"/>
  </w:num>
  <w:num w:numId="18">
    <w:abstractNumId w:val="23"/>
  </w:num>
  <w:num w:numId="19">
    <w:abstractNumId w:val="20"/>
  </w:num>
  <w:num w:numId="20">
    <w:abstractNumId w:val="16"/>
  </w:num>
  <w:num w:numId="21">
    <w:abstractNumId w:val="7"/>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21"/>
  </w:num>
  <w:num w:numId="25">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10"/>
  <w:displayHorizontalDrawingGridEvery w:val="2"/>
  <w:displayVertic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EF7"/>
    <w:rsid w:val="00020ABF"/>
    <w:rsid w:val="00035078"/>
    <w:rsid w:val="00074688"/>
    <w:rsid w:val="00074A55"/>
    <w:rsid w:val="0009309E"/>
    <w:rsid w:val="0009688F"/>
    <w:rsid w:val="000A17EB"/>
    <w:rsid w:val="000B0C7A"/>
    <w:rsid w:val="000B29A4"/>
    <w:rsid w:val="000B3111"/>
    <w:rsid w:val="000C7B49"/>
    <w:rsid w:val="000D3C52"/>
    <w:rsid w:val="000F700D"/>
    <w:rsid w:val="00124B72"/>
    <w:rsid w:val="0012715F"/>
    <w:rsid w:val="00156EF7"/>
    <w:rsid w:val="00177B07"/>
    <w:rsid w:val="001826FA"/>
    <w:rsid w:val="001A3E35"/>
    <w:rsid w:val="001A7F18"/>
    <w:rsid w:val="001B3190"/>
    <w:rsid w:val="001B6DBD"/>
    <w:rsid w:val="001D3D83"/>
    <w:rsid w:val="001D40C4"/>
    <w:rsid w:val="001D4837"/>
    <w:rsid w:val="001E45B8"/>
    <w:rsid w:val="001E60EE"/>
    <w:rsid w:val="001E6F57"/>
    <w:rsid w:val="00200A58"/>
    <w:rsid w:val="00202660"/>
    <w:rsid w:val="002050FD"/>
    <w:rsid w:val="00213D94"/>
    <w:rsid w:val="002208F1"/>
    <w:rsid w:val="00244470"/>
    <w:rsid w:val="002479EF"/>
    <w:rsid w:val="00250FA9"/>
    <w:rsid w:val="00252225"/>
    <w:rsid w:val="00254FC0"/>
    <w:rsid w:val="00257D56"/>
    <w:rsid w:val="00271D72"/>
    <w:rsid w:val="00277DC7"/>
    <w:rsid w:val="00281D8A"/>
    <w:rsid w:val="002A5C61"/>
    <w:rsid w:val="002B2A4C"/>
    <w:rsid w:val="002B2DA1"/>
    <w:rsid w:val="002C0344"/>
    <w:rsid w:val="002C131F"/>
    <w:rsid w:val="002C51B2"/>
    <w:rsid w:val="002F6648"/>
    <w:rsid w:val="0030084D"/>
    <w:rsid w:val="00305C57"/>
    <w:rsid w:val="0030628A"/>
    <w:rsid w:val="00364E5E"/>
    <w:rsid w:val="00375E78"/>
    <w:rsid w:val="00384C83"/>
    <w:rsid w:val="00391BB7"/>
    <w:rsid w:val="003A1F25"/>
    <w:rsid w:val="003A4708"/>
    <w:rsid w:val="003B345C"/>
    <w:rsid w:val="003D27B2"/>
    <w:rsid w:val="003E28A0"/>
    <w:rsid w:val="003E7371"/>
    <w:rsid w:val="003F016B"/>
    <w:rsid w:val="00421A6E"/>
    <w:rsid w:val="004230CA"/>
    <w:rsid w:val="00426453"/>
    <w:rsid w:val="00437683"/>
    <w:rsid w:val="0044428A"/>
    <w:rsid w:val="00464DAE"/>
    <w:rsid w:val="004855CF"/>
    <w:rsid w:val="00491258"/>
    <w:rsid w:val="004B04B3"/>
    <w:rsid w:val="004B15F8"/>
    <w:rsid w:val="004C13D3"/>
    <w:rsid w:val="004C60DD"/>
    <w:rsid w:val="004D0D0D"/>
    <w:rsid w:val="004E456D"/>
    <w:rsid w:val="00500559"/>
    <w:rsid w:val="005056DF"/>
    <w:rsid w:val="00517E60"/>
    <w:rsid w:val="00520EF0"/>
    <w:rsid w:val="00521FAB"/>
    <w:rsid w:val="005445C4"/>
    <w:rsid w:val="00556680"/>
    <w:rsid w:val="0056384A"/>
    <w:rsid w:val="00583174"/>
    <w:rsid w:val="00595D1F"/>
    <w:rsid w:val="00596B0D"/>
    <w:rsid w:val="005A67D9"/>
    <w:rsid w:val="005B36B4"/>
    <w:rsid w:val="005B382E"/>
    <w:rsid w:val="005B5833"/>
    <w:rsid w:val="005C0A12"/>
    <w:rsid w:val="005D3273"/>
    <w:rsid w:val="005D4A27"/>
    <w:rsid w:val="005D7123"/>
    <w:rsid w:val="005F1446"/>
    <w:rsid w:val="005F3D8E"/>
    <w:rsid w:val="005F4E22"/>
    <w:rsid w:val="005F5727"/>
    <w:rsid w:val="006031EE"/>
    <w:rsid w:val="00614C6D"/>
    <w:rsid w:val="00614F7A"/>
    <w:rsid w:val="00617250"/>
    <w:rsid w:val="006227D6"/>
    <w:rsid w:val="0065297E"/>
    <w:rsid w:val="00655FDE"/>
    <w:rsid w:val="00657552"/>
    <w:rsid w:val="006669CE"/>
    <w:rsid w:val="00671B99"/>
    <w:rsid w:val="00677C39"/>
    <w:rsid w:val="00680AC5"/>
    <w:rsid w:val="00694F03"/>
    <w:rsid w:val="006959C4"/>
    <w:rsid w:val="00695E3D"/>
    <w:rsid w:val="00697821"/>
    <w:rsid w:val="006B07F7"/>
    <w:rsid w:val="006B6336"/>
    <w:rsid w:val="006B75A6"/>
    <w:rsid w:val="006C1360"/>
    <w:rsid w:val="006E7D55"/>
    <w:rsid w:val="00713DA9"/>
    <w:rsid w:val="007245E9"/>
    <w:rsid w:val="0075099F"/>
    <w:rsid w:val="00753436"/>
    <w:rsid w:val="0076168A"/>
    <w:rsid w:val="00773A0E"/>
    <w:rsid w:val="00793390"/>
    <w:rsid w:val="007B2CA1"/>
    <w:rsid w:val="007C4C86"/>
    <w:rsid w:val="007C708F"/>
    <w:rsid w:val="007D61FB"/>
    <w:rsid w:val="007D71D3"/>
    <w:rsid w:val="007E0913"/>
    <w:rsid w:val="007E4E5C"/>
    <w:rsid w:val="007F205D"/>
    <w:rsid w:val="007F5462"/>
    <w:rsid w:val="007F6A23"/>
    <w:rsid w:val="00800B33"/>
    <w:rsid w:val="00800CD0"/>
    <w:rsid w:val="0081028A"/>
    <w:rsid w:val="00811031"/>
    <w:rsid w:val="00813D9E"/>
    <w:rsid w:val="00814DAD"/>
    <w:rsid w:val="0082211C"/>
    <w:rsid w:val="00830126"/>
    <w:rsid w:val="00834B9A"/>
    <w:rsid w:val="00835D15"/>
    <w:rsid w:val="00850E2C"/>
    <w:rsid w:val="008612FE"/>
    <w:rsid w:val="00873287"/>
    <w:rsid w:val="00884B99"/>
    <w:rsid w:val="008A3F93"/>
    <w:rsid w:val="008A6680"/>
    <w:rsid w:val="008C2E4C"/>
    <w:rsid w:val="008D0F79"/>
    <w:rsid w:val="008D5099"/>
    <w:rsid w:val="008D63F1"/>
    <w:rsid w:val="00903A0C"/>
    <w:rsid w:val="009176E5"/>
    <w:rsid w:val="009178E1"/>
    <w:rsid w:val="00922BDE"/>
    <w:rsid w:val="00926B80"/>
    <w:rsid w:val="00927A3F"/>
    <w:rsid w:val="009321A5"/>
    <w:rsid w:val="00932F0A"/>
    <w:rsid w:val="0093411F"/>
    <w:rsid w:val="0093757F"/>
    <w:rsid w:val="0094464C"/>
    <w:rsid w:val="0094703B"/>
    <w:rsid w:val="00951C84"/>
    <w:rsid w:val="00960D01"/>
    <w:rsid w:val="00962760"/>
    <w:rsid w:val="00963CF5"/>
    <w:rsid w:val="0097176A"/>
    <w:rsid w:val="009728E5"/>
    <w:rsid w:val="0097387D"/>
    <w:rsid w:val="00981EBD"/>
    <w:rsid w:val="00983C17"/>
    <w:rsid w:val="0099726B"/>
    <w:rsid w:val="009B373B"/>
    <w:rsid w:val="009B46A7"/>
    <w:rsid w:val="009C49B1"/>
    <w:rsid w:val="009E5112"/>
    <w:rsid w:val="009F7D31"/>
    <w:rsid w:val="00A00910"/>
    <w:rsid w:val="00A07449"/>
    <w:rsid w:val="00A31D0A"/>
    <w:rsid w:val="00A64C29"/>
    <w:rsid w:val="00A7516A"/>
    <w:rsid w:val="00A77308"/>
    <w:rsid w:val="00A868E1"/>
    <w:rsid w:val="00AC06AF"/>
    <w:rsid w:val="00AC2CD2"/>
    <w:rsid w:val="00AD192A"/>
    <w:rsid w:val="00AE07A4"/>
    <w:rsid w:val="00AE2882"/>
    <w:rsid w:val="00AE305C"/>
    <w:rsid w:val="00AE4E8B"/>
    <w:rsid w:val="00AF568D"/>
    <w:rsid w:val="00B04436"/>
    <w:rsid w:val="00B062CE"/>
    <w:rsid w:val="00B32748"/>
    <w:rsid w:val="00B32E23"/>
    <w:rsid w:val="00B3571B"/>
    <w:rsid w:val="00B37D32"/>
    <w:rsid w:val="00B426FF"/>
    <w:rsid w:val="00B506B3"/>
    <w:rsid w:val="00B555AF"/>
    <w:rsid w:val="00B55DF3"/>
    <w:rsid w:val="00B63743"/>
    <w:rsid w:val="00B72016"/>
    <w:rsid w:val="00B823CF"/>
    <w:rsid w:val="00B84B4D"/>
    <w:rsid w:val="00B90DAD"/>
    <w:rsid w:val="00BA08D7"/>
    <w:rsid w:val="00BA5A26"/>
    <w:rsid w:val="00BB10C9"/>
    <w:rsid w:val="00BB53DB"/>
    <w:rsid w:val="00BB5F9B"/>
    <w:rsid w:val="00BC370C"/>
    <w:rsid w:val="00BC420C"/>
    <w:rsid w:val="00BD441B"/>
    <w:rsid w:val="00BD7AB4"/>
    <w:rsid w:val="00BE7657"/>
    <w:rsid w:val="00C05FE2"/>
    <w:rsid w:val="00C20748"/>
    <w:rsid w:val="00C26B8F"/>
    <w:rsid w:val="00C26E0E"/>
    <w:rsid w:val="00C46771"/>
    <w:rsid w:val="00C50BB6"/>
    <w:rsid w:val="00C5185F"/>
    <w:rsid w:val="00C55B6E"/>
    <w:rsid w:val="00C57222"/>
    <w:rsid w:val="00C57363"/>
    <w:rsid w:val="00C67082"/>
    <w:rsid w:val="00C910A7"/>
    <w:rsid w:val="00C91D76"/>
    <w:rsid w:val="00C91D86"/>
    <w:rsid w:val="00CA14CA"/>
    <w:rsid w:val="00CA44C4"/>
    <w:rsid w:val="00CB43EB"/>
    <w:rsid w:val="00CC031E"/>
    <w:rsid w:val="00CC097E"/>
    <w:rsid w:val="00CE3414"/>
    <w:rsid w:val="00CE39FF"/>
    <w:rsid w:val="00CF293F"/>
    <w:rsid w:val="00D021B1"/>
    <w:rsid w:val="00D0530D"/>
    <w:rsid w:val="00D12F3F"/>
    <w:rsid w:val="00D53D16"/>
    <w:rsid w:val="00D54911"/>
    <w:rsid w:val="00D67DAA"/>
    <w:rsid w:val="00D71751"/>
    <w:rsid w:val="00D82F4F"/>
    <w:rsid w:val="00DB28C4"/>
    <w:rsid w:val="00DC1298"/>
    <w:rsid w:val="00DC1E9B"/>
    <w:rsid w:val="00DC777B"/>
    <w:rsid w:val="00DD2BF7"/>
    <w:rsid w:val="00DD5DC6"/>
    <w:rsid w:val="00DE1F78"/>
    <w:rsid w:val="00DE346C"/>
    <w:rsid w:val="00E107AD"/>
    <w:rsid w:val="00E14DDD"/>
    <w:rsid w:val="00E21DE5"/>
    <w:rsid w:val="00E249A7"/>
    <w:rsid w:val="00E369DE"/>
    <w:rsid w:val="00E46EBA"/>
    <w:rsid w:val="00E55085"/>
    <w:rsid w:val="00E749D0"/>
    <w:rsid w:val="00E774B8"/>
    <w:rsid w:val="00E82A4B"/>
    <w:rsid w:val="00E86CD3"/>
    <w:rsid w:val="00E872B0"/>
    <w:rsid w:val="00E90A82"/>
    <w:rsid w:val="00ED2634"/>
    <w:rsid w:val="00ED6A35"/>
    <w:rsid w:val="00EE0BCD"/>
    <w:rsid w:val="00EE2645"/>
    <w:rsid w:val="00F056D3"/>
    <w:rsid w:val="00F07668"/>
    <w:rsid w:val="00F21151"/>
    <w:rsid w:val="00F26CD1"/>
    <w:rsid w:val="00F2785E"/>
    <w:rsid w:val="00F31918"/>
    <w:rsid w:val="00F407B2"/>
    <w:rsid w:val="00F44314"/>
    <w:rsid w:val="00F47B9A"/>
    <w:rsid w:val="00F54D71"/>
    <w:rsid w:val="00F55B46"/>
    <w:rsid w:val="00F56DC3"/>
    <w:rsid w:val="00FA44A6"/>
    <w:rsid w:val="00FC20BB"/>
    <w:rsid w:val="00FC70BD"/>
    <w:rsid w:val="00FE6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21B8C16"/>
  <w15:chartTrackingRefBased/>
  <w15:docId w15:val="{DE3CBA37-E6FA-4F7D-BE01-A24AF885D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56EF7"/>
    <w:rPr>
      <w:rFonts w:ascii="Garamond" w:hAnsi="Garamond" w:cs="Arial"/>
      <w:sz w:val="22"/>
    </w:rPr>
  </w:style>
  <w:style w:type="paragraph" w:styleId="Heading1">
    <w:name w:val="heading 1"/>
    <w:basedOn w:val="Normal"/>
    <w:next w:val="BodyText"/>
    <w:link w:val="Heading1Char"/>
    <w:qFormat/>
    <w:rsid w:val="005B36B4"/>
    <w:pPr>
      <w:keepNext/>
      <w:spacing w:line="280" w:lineRule="atLeast"/>
      <w:outlineLvl w:val="0"/>
    </w:pPr>
    <w:rPr>
      <w:rFonts w:ascii="Arial Black" w:hAnsi="Arial Black"/>
      <w:bCs/>
      <w:color w:val="4F2D7F"/>
      <w:kern w:val="32"/>
      <w:sz w:val="19"/>
      <w:szCs w:val="28"/>
    </w:rPr>
  </w:style>
  <w:style w:type="paragraph" w:styleId="Heading2">
    <w:name w:val="heading 2"/>
    <w:basedOn w:val="Heading1"/>
    <w:next w:val="BodyText"/>
    <w:link w:val="Heading2Char"/>
    <w:qFormat/>
    <w:rsid w:val="00B3571B"/>
    <w:pPr>
      <w:outlineLvl w:val="1"/>
    </w:pPr>
    <w:rPr>
      <w:bCs w:val="0"/>
      <w:color w:val="auto"/>
      <w:szCs w:val="24"/>
    </w:rPr>
  </w:style>
  <w:style w:type="paragraph" w:styleId="Heading3">
    <w:name w:val="heading 3"/>
    <w:basedOn w:val="Heading2"/>
    <w:next w:val="BodyText"/>
    <w:link w:val="Heading3Char"/>
    <w:qFormat/>
    <w:rsid w:val="00B3571B"/>
    <w:pPr>
      <w:outlineLvl w:val="2"/>
    </w:pPr>
    <w:rPr>
      <w:rFonts w:ascii="Arial" w:hAnsi="Arial"/>
      <w:bCs/>
      <w:szCs w:val="22"/>
    </w:rPr>
  </w:style>
  <w:style w:type="paragraph" w:styleId="Heading4">
    <w:name w:val="heading 4"/>
    <w:basedOn w:val="Heading3"/>
    <w:next w:val="BodyText"/>
    <w:qFormat/>
    <w:rsid w:val="00B3571B"/>
    <w:pPr>
      <w:outlineLvl w:val="3"/>
    </w:pPr>
    <w:rPr>
      <w:bCs w:val="0"/>
      <w:i/>
    </w:rPr>
  </w:style>
  <w:style w:type="paragraph" w:styleId="Heading5">
    <w:name w:val="heading 5"/>
    <w:basedOn w:val="Normal"/>
    <w:next w:val="Normal"/>
    <w:rsid w:val="00B3571B"/>
    <w:pPr>
      <w:numPr>
        <w:ilvl w:val="4"/>
        <w:numId w:val="10"/>
      </w:numPr>
      <w:spacing w:before="240" w:after="60"/>
      <w:outlineLvl w:val="4"/>
    </w:pPr>
    <w:rPr>
      <w:b/>
      <w:bCs/>
      <w:i/>
      <w:iCs/>
      <w:sz w:val="26"/>
      <w:szCs w:val="26"/>
    </w:rPr>
  </w:style>
  <w:style w:type="paragraph" w:styleId="Heading6">
    <w:name w:val="heading 6"/>
    <w:basedOn w:val="Normal"/>
    <w:next w:val="Normal"/>
    <w:rsid w:val="00B3571B"/>
    <w:pPr>
      <w:numPr>
        <w:ilvl w:val="5"/>
        <w:numId w:val="10"/>
      </w:numPr>
      <w:spacing w:before="240" w:after="60"/>
      <w:outlineLvl w:val="5"/>
    </w:pPr>
    <w:rPr>
      <w:rFonts w:ascii="Times New Roman" w:hAnsi="Times New Roman" w:cs="Times New Roman"/>
      <w:b/>
      <w:bCs/>
      <w:szCs w:val="22"/>
    </w:rPr>
  </w:style>
  <w:style w:type="paragraph" w:styleId="Heading7">
    <w:name w:val="heading 7"/>
    <w:basedOn w:val="Normal"/>
    <w:next w:val="Normal"/>
    <w:rsid w:val="00B3571B"/>
    <w:pPr>
      <w:numPr>
        <w:ilvl w:val="6"/>
        <w:numId w:val="10"/>
      </w:numPr>
      <w:spacing w:before="240" w:after="60"/>
      <w:outlineLvl w:val="6"/>
    </w:pPr>
    <w:rPr>
      <w:rFonts w:ascii="Times New Roman" w:hAnsi="Times New Roman" w:cs="Times New Roman"/>
      <w:sz w:val="24"/>
      <w:szCs w:val="24"/>
    </w:rPr>
  </w:style>
  <w:style w:type="paragraph" w:styleId="Heading8">
    <w:name w:val="heading 8"/>
    <w:basedOn w:val="Normal"/>
    <w:next w:val="Normal"/>
    <w:rsid w:val="00B3571B"/>
    <w:pPr>
      <w:numPr>
        <w:ilvl w:val="7"/>
        <w:numId w:val="10"/>
      </w:numPr>
      <w:spacing w:before="240" w:after="60"/>
      <w:outlineLvl w:val="7"/>
    </w:pPr>
    <w:rPr>
      <w:rFonts w:ascii="Times New Roman" w:hAnsi="Times New Roman" w:cs="Times New Roman"/>
      <w:i/>
      <w:iCs/>
      <w:sz w:val="24"/>
      <w:szCs w:val="24"/>
    </w:rPr>
  </w:style>
  <w:style w:type="paragraph" w:styleId="Heading9">
    <w:name w:val="heading 9"/>
    <w:basedOn w:val="Normal"/>
    <w:next w:val="Normal"/>
    <w:rsid w:val="00B3571B"/>
    <w:pPr>
      <w:numPr>
        <w:ilvl w:val="8"/>
        <w:numId w:val="10"/>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84" w:line="280" w:lineRule="atLeast"/>
    </w:pPr>
  </w:style>
  <w:style w:type="paragraph" w:styleId="Header">
    <w:name w:val="header"/>
    <w:pPr>
      <w:tabs>
        <w:tab w:val="right" w:pos="8562"/>
      </w:tabs>
    </w:pPr>
    <w:rPr>
      <w:rFonts w:ascii="Arial" w:hAnsi="Arial" w:cs="Arial"/>
      <w:b/>
      <w:color w:val="747678"/>
      <w:sz w:val="16"/>
    </w:rPr>
  </w:style>
  <w:style w:type="paragraph" w:styleId="Footer">
    <w:name w:val="footer"/>
    <w:link w:val="FooterChar"/>
    <w:uiPriority w:val="99"/>
    <w:pPr>
      <w:tabs>
        <w:tab w:val="center" w:pos="4153"/>
        <w:tab w:val="right" w:pos="8306"/>
      </w:tabs>
    </w:pPr>
    <w:rPr>
      <w:rFonts w:ascii="Arial" w:hAnsi="Arial" w:cs="Arial"/>
      <w:b/>
      <w:color w:val="747678"/>
      <w:sz w:val="13"/>
    </w:rPr>
  </w:style>
  <w:style w:type="paragraph" w:customStyle="1" w:styleId="AppendicesTitle">
    <w:name w:val="Appendices Title"/>
    <w:basedOn w:val="Heading2"/>
    <w:next w:val="Normal"/>
  </w:style>
  <w:style w:type="paragraph" w:styleId="Title">
    <w:name w:val="Title"/>
    <w:basedOn w:val="Normal"/>
    <w:next w:val="BodyText"/>
    <w:qFormat/>
    <w:rsid w:val="00B3571B"/>
    <w:pPr>
      <w:spacing w:before="400" w:after="400" w:line="580" w:lineRule="atLeast"/>
      <w:outlineLvl w:val="0"/>
    </w:pPr>
    <w:rPr>
      <w:bCs/>
      <w:kern w:val="28"/>
      <w:sz w:val="66"/>
      <w:szCs w:val="32"/>
    </w:rPr>
  </w:style>
  <w:style w:type="paragraph" w:styleId="ListBullet2">
    <w:name w:val="List Bullet 2"/>
    <w:basedOn w:val="Normal"/>
    <w:qFormat/>
    <w:pPr>
      <w:numPr>
        <w:ilvl w:val="1"/>
        <w:numId w:val="3"/>
      </w:numPr>
      <w:spacing w:after="20" w:line="260" w:lineRule="atLeast"/>
    </w:pPr>
  </w:style>
  <w:style w:type="paragraph" w:styleId="ListNumber2">
    <w:name w:val="List Number 2"/>
    <w:basedOn w:val="Normal"/>
    <w:qFormat/>
    <w:pPr>
      <w:numPr>
        <w:ilvl w:val="1"/>
        <w:numId w:val="2"/>
      </w:numPr>
      <w:spacing w:after="284" w:line="280" w:lineRule="atLeast"/>
    </w:pPr>
  </w:style>
  <w:style w:type="paragraph" w:styleId="ListNumber">
    <w:name w:val="List Number"/>
    <w:basedOn w:val="Normal"/>
    <w:qFormat/>
    <w:pPr>
      <w:numPr>
        <w:numId w:val="2"/>
      </w:numPr>
      <w:spacing w:after="284" w:line="280" w:lineRule="atLeast"/>
    </w:pPr>
  </w:style>
  <w:style w:type="paragraph" w:styleId="TOC2">
    <w:name w:val="toc 2"/>
    <w:next w:val="Normal"/>
    <w:semiHidden/>
    <w:pPr>
      <w:tabs>
        <w:tab w:val="right" w:pos="8505"/>
      </w:tabs>
      <w:spacing w:after="100"/>
      <w:ind w:left="198"/>
    </w:pPr>
    <w:rPr>
      <w:rFonts w:ascii="Arial" w:hAnsi="Arial" w:cs="Arial"/>
      <w:sz w:val="19"/>
      <w:szCs w:val="24"/>
    </w:rPr>
  </w:style>
  <w:style w:type="paragraph" w:styleId="TOC3">
    <w:name w:val="toc 3"/>
    <w:basedOn w:val="TOC2"/>
    <w:next w:val="Normal"/>
    <w:semiHidden/>
    <w:pPr>
      <w:ind w:left="403"/>
    </w:pPr>
  </w:style>
  <w:style w:type="paragraph" w:styleId="ListBullet">
    <w:name w:val="List Bullet"/>
    <w:basedOn w:val="Normal"/>
    <w:qFormat/>
    <w:pPr>
      <w:numPr>
        <w:numId w:val="3"/>
      </w:numPr>
      <w:spacing w:after="20" w:line="280" w:lineRule="atLeast"/>
    </w:pPr>
  </w:style>
  <w:style w:type="paragraph" w:customStyle="1" w:styleId="SectionTitle">
    <w:name w:val="Section Title"/>
    <w:next w:val="BodyText"/>
    <w:qFormat/>
    <w:pPr>
      <w:spacing w:after="2520"/>
    </w:pPr>
    <w:rPr>
      <w:rFonts w:ascii="Garamond" w:hAnsi="Garamond" w:cs="Arial"/>
      <w:sz w:val="48"/>
    </w:rPr>
  </w:style>
  <w:style w:type="paragraph" w:customStyle="1" w:styleId="TableText">
    <w:name w:val="Table Text"/>
    <w:qFormat/>
    <w:rPr>
      <w:rFonts w:ascii="Arial" w:hAnsi="Arial" w:cs="Arial"/>
      <w:sz w:val="16"/>
    </w:rPr>
  </w:style>
  <w:style w:type="paragraph" w:customStyle="1" w:styleId="TintBoxTextBlack">
    <w:name w:val="Tint Box Text Black"/>
    <w:pPr>
      <w:spacing w:after="280" w:line="280" w:lineRule="atLeast"/>
    </w:pPr>
    <w:rPr>
      <w:rFonts w:ascii="Arial" w:hAnsi="Arial" w:cs="Arial"/>
      <w:b/>
    </w:rPr>
  </w:style>
  <w:style w:type="paragraph" w:customStyle="1" w:styleId="TintBoxTextWhite">
    <w:name w:val="Tint Box Text White"/>
    <w:basedOn w:val="TintBoxTextBlack"/>
    <w:rPr>
      <w:color w:val="FFFFFF"/>
    </w:rPr>
  </w:style>
  <w:style w:type="paragraph" w:customStyle="1" w:styleId="AppendixTitle">
    <w:name w:val="Appendix Title"/>
    <w:basedOn w:val="Normal"/>
    <w:next w:val="BodyText"/>
    <w:qFormat/>
    <w:pPr>
      <w:spacing w:after="2520"/>
    </w:pPr>
    <w:rPr>
      <w:bCs/>
      <w:kern w:val="28"/>
      <w:sz w:val="48"/>
      <w:szCs w:val="32"/>
    </w:rPr>
  </w:style>
  <w:style w:type="paragraph" w:styleId="ListNumber3">
    <w:name w:val="List Number 3"/>
    <w:basedOn w:val="Normal"/>
    <w:qFormat/>
    <w:pPr>
      <w:numPr>
        <w:ilvl w:val="2"/>
        <w:numId w:val="2"/>
      </w:numPr>
      <w:spacing w:after="284" w:line="280" w:lineRule="atLeast"/>
      <w:ind w:left="1071" w:hanging="357"/>
    </w:pPr>
  </w:style>
  <w:style w:type="paragraph" w:customStyle="1" w:styleId="TableHeading">
    <w:name w:val="Table Heading"/>
    <w:qFormat/>
    <w:rsid w:val="005B36B4"/>
    <w:rPr>
      <w:rFonts w:ascii="Arial" w:hAnsi="Arial" w:cs="Arial"/>
      <w:b/>
      <w:bCs/>
      <w:kern w:val="28"/>
      <w:sz w:val="18"/>
      <w:szCs w:val="32"/>
    </w:rPr>
  </w:style>
  <w:style w:type="paragraph" w:customStyle="1" w:styleId="MarginNotes">
    <w:name w:val="Margin Notes"/>
    <w:qFormat/>
    <w:rPr>
      <w:rFonts w:ascii="Arial" w:hAnsi="Arial" w:cs="Arial"/>
      <w:sz w:val="16"/>
    </w:rPr>
  </w:style>
  <w:style w:type="paragraph" w:styleId="TOC1">
    <w:name w:val="toc 1"/>
    <w:next w:val="Normal"/>
    <w:semiHidden/>
    <w:pPr>
      <w:tabs>
        <w:tab w:val="right" w:pos="8505"/>
      </w:tabs>
      <w:spacing w:before="165" w:after="100"/>
    </w:pPr>
    <w:rPr>
      <w:rFonts w:ascii="Arial" w:hAnsi="Arial" w:cs="Arial"/>
      <w:sz w:val="19"/>
    </w:rPr>
  </w:style>
  <w:style w:type="paragraph" w:styleId="Subtitle">
    <w:name w:val="Subtitle"/>
    <w:qFormat/>
    <w:rsid w:val="00B3571B"/>
    <w:pPr>
      <w:spacing w:line="280" w:lineRule="atLeast"/>
      <w:outlineLvl w:val="1"/>
    </w:pPr>
    <w:rPr>
      <w:rFonts w:ascii="Arial" w:hAnsi="Arial" w:cs="Arial"/>
      <w:bCs/>
      <w:kern w:val="28"/>
      <w:sz w:val="24"/>
      <w:szCs w:val="24"/>
    </w:rPr>
  </w:style>
  <w:style w:type="paragraph" w:customStyle="1" w:styleId="ChapterTitle">
    <w:name w:val="Chapter Title"/>
    <w:basedOn w:val="Subtitle"/>
    <w:qFormat/>
    <w:pPr>
      <w:pBdr>
        <w:bottom w:val="single" w:sz="4" w:space="5" w:color="auto"/>
      </w:pBdr>
    </w:pPr>
    <w:rPr>
      <w:sz w:val="20"/>
    </w:rPr>
  </w:style>
  <w:style w:type="paragraph" w:customStyle="1" w:styleId="Contents">
    <w:name w:val="Contents"/>
    <w:next w:val="Normal"/>
    <w:pPr>
      <w:spacing w:after="2520" w:line="580" w:lineRule="atLeast"/>
    </w:pPr>
    <w:rPr>
      <w:rFonts w:ascii="Garamond" w:hAnsi="Garamond" w:cs="Arial"/>
      <w:sz w:val="66"/>
    </w:rPr>
  </w:style>
  <w:style w:type="paragraph" w:customStyle="1" w:styleId="Copyright">
    <w:name w:val="Copyright"/>
    <w:semiHidden/>
    <w:pPr>
      <w:spacing w:line="220" w:lineRule="atLeast"/>
    </w:pPr>
    <w:rPr>
      <w:rFonts w:ascii="Garamond" w:hAnsi="Garamond" w:cs="Arial"/>
    </w:rPr>
  </w:style>
  <w:style w:type="paragraph" w:customStyle="1" w:styleId="ReferenceText">
    <w:name w:val="Reference Text"/>
    <w:rPr>
      <w:rFonts w:ascii="Arial" w:hAnsi="Arial" w:cs="Arial"/>
      <w:kern w:val="32"/>
      <w:sz w:val="18"/>
      <w:szCs w:val="24"/>
    </w:rPr>
  </w:style>
  <w:style w:type="paragraph" w:customStyle="1" w:styleId="ReferenceTitle">
    <w:name w:val="Reference Title"/>
    <w:next w:val="ReferenceText"/>
    <w:rPr>
      <w:rFonts w:ascii="Arial Black" w:hAnsi="Arial Black" w:cs="Arial"/>
      <w:kern w:val="32"/>
      <w:sz w:val="18"/>
      <w:szCs w:val="24"/>
    </w:rPr>
  </w:style>
  <w:style w:type="paragraph" w:customStyle="1" w:styleId="LandscapeHeader">
    <w:name w:val="Landscape Header"/>
    <w:basedOn w:val="Header"/>
    <w:semiHidden/>
    <w:pPr>
      <w:tabs>
        <w:tab w:val="clear" w:pos="8562"/>
        <w:tab w:val="right" w:pos="13438"/>
      </w:tabs>
    </w:pPr>
  </w:style>
  <w:style w:type="paragraph" w:customStyle="1" w:styleId="ParagraphBullet">
    <w:name w:val="Paragraph Bullet"/>
    <w:basedOn w:val="Normal"/>
    <w:qFormat/>
    <w:pPr>
      <w:numPr>
        <w:numId w:val="8"/>
      </w:numPr>
      <w:spacing w:after="284" w:line="280" w:lineRule="atLeast"/>
    </w:pPr>
  </w:style>
  <w:style w:type="paragraph" w:customStyle="1" w:styleId="ParagraphBullet2">
    <w:name w:val="Paragraph Bullet 2"/>
    <w:basedOn w:val="Normal"/>
    <w:qFormat/>
    <w:pPr>
      <w:numPr>
        <w:ilvl w:val="1"/>
        <w:numId w:val="8"/>
      </w:numPr>
      <w:spacing w:after="284" w:line="280" w:lineRule="atLeast"/>
    </w:pPr>
  </w:style>
  <w:style w:type="paragraph" w:customStyle="1" w:styleId="MarginNotesHeading">
    <w:name w:val="Margin Notes Heading"/>
    <w:basedOn w:val="MarginNotes"/>
    <w:qFormat/>
    <w:rPr>
      <w:b/>
    </w:rPr>
  </w:style>
  <w:style w:type="paragraph" w:styleId="Quote">
    <w:name w:val="Quote"/>
    <w:basedOn w:val="BodyText"/>
    <w:qFormat/>
    <w:rsid w:val="00B3571B"/>
    <w:pPr>
      <w:spacing w:line="340" w:lineRule="atLeast"/>
    </w:pPr>
    <w:rPr>
      <w:sz w:val="28"/>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customStyle="1" w:styleId="ContactDetails">
    <w:name w:val="Contact Details"/>
    <w:qFormat/>
    <w:rPr>
      <w:rFonts w:ascii="Arial" w:hAnsi="Arial" w:cs="Arial"/>
      <w:sz w:val="16"/>
    </w:rPr>
  </w:style>
  <w:style w:type="paragraph" w:customStyle="1" w:styleId="ContactDetailsTitle">
    <w:name w:val="Contact Details Title"/>
    <w:basedOn w:val="ContactDetails"/>
    <w:next w:val="ContactDetails"/>
    <w:qFormat/>
    <w:rPr>
      <w:b/>
    </w:rPr>
  </w:style>
  <w:style w:type="paragraph" w:customStyle="1" w:styleId="NumberedHeading1">
    <w:name w:val="Numbered Heading 1"/>
    <w:next w:val="BodyText"/>
    <w:qFormat/>
    <w:pPr>
      <w:numPr>
        <w:numId w:val="9"/>
      </w:numPr>
      <w:spacing w:line="260" w:lineRule="atLeast"/>
    </w:pPr>
    <w:rPr>
      <w:rFonts w:ascii="Arial Black" w:hAnsi="Arial Black" w:cs="Arial"/>
      <w:color w:val="4B217E"/>
      <w:sz w:val="19"/>
    </w:rPr>
  </w:style>
  <w:style w:type="paragraph" w:customStyle="1" w:styleId="NumberedHeading2">
    <w:name w:val="Numbered Heading 2"/>
    <w:next w:val="BodyText"/>
    <w:qFormat/>
    <w:pPr>
      <w:numPr>
        <w:ilvl w:val="1"/>
        <w:numId w:val="9"/>
      </w:numPr>
      <w:spacing w:line="260" w:lineRule="atLeast"/>
    </w:pPr>
    <w:rPr>
      <w:rFonts w:ascii="Arial Black" w:hAnsi="Arial Black" w:cs="Arial"/>
      <w:color w:val="4B217E"/>
      <w:sz w:val="19"/>
    </w:rPr>
  </w:style>
  <w:style w:type="table" w:customStyle="1" w:styleId="GTITableStyle1">
    <w:name w:val="GTI Table Style 1"/>
    <w:basedOn w:val="TableNormal"/>
    <w:uiPriority w:val="99"/>
    <w:rsid w:val="00520EF0"/>
    <w:tblPr>
      <w:tblBorders>
        <w:top w:val="single" w:sz="12" w:space="0" w:color="4F2D7F"/>
        <w:bottom w:val="single" w:sz="12" w:space="0" w:color="4F2D7F"/>
        <w:insideH w:val="single" w:sz="4" w:space="0" w:color="4F2D7F"/>
      </w:tblBorders>
    </w:tblPr>
    <w:tcPr>
      <w:shd w:val="clear" w:color="auto" w:fill="auto"/>
    </w:tcPr>
  </w:style>
  <w:style w:type="table" w:customStyle="1" w:styleId="GTITableStyle3">
    <w:name w:val="GTI Table Style 3"/>
    <w:basedOn w:val="TableNormal"/>
    <w:uiPriority w:val="99"/>
    <w:rsid w:val="008612FE"/>
    <w:tblPr>
      <w:tblBorders>
        <w:top w:val="single" w:sz="12" w:space="0" w:color="4F2D7F"/>
        <w:bottom w:val="single" w:sz="12" w:space="0" w:color="4F2D7F"/>
        <w:insideH w:val="single" w:sz="4" w:space="0" w:color="4F2D7F"/>
      </w:tblBorders>
    </w:tblPr>
    <w:tcPr>
      <w:shd w:val="clear" w:color="auto" w:fill="DACDED"/>
    </w:tcPr>
    <w:tblStylePr w:type="lastCol">
      <w:tblPr/>
      <w:tcPr>
        <w:shd w:val="clear" w:color="auto" w:fill="B59BDB"/>
      </w:tcPr>
    </w:tblStylePr>
  </w:style>
  <w:style w:type="table" w:styleId="TableGrid">
    <w:name w:val="Table Grid"/>
    <w:basedOn w:val="TableNormal"/>
    <w:rsid w:val="0075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F293F"/>
    <w:rPr>
      <w:rFonts w:ascii="Garamond" w:hAnsi="Garamond" w:cs="Arial"/>
      <w:sz w:val="22"/>
      <w:lang w:val="en-US"/>
    </w:rPr>
  </w:style>
  <w:style w:type="table" w:styleId="MediumList2-Accent1">
    <w:name w:val="Medium List 2 Accent 1"/>
    <w:basedOn w:val="TableNormal"/>
    <w:uiPriority w:val="66"/>
    <w:rsid w:val="00CF293F"/>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single" w:sz="8" w:space="0" w:color="4F2D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tenseQuote">
    <w:name w:val="Intense Quote"/>
    <w:basedOn w:val="Normal"/>
    <w:next w:val="Normal"/>
    <w:link w:val="IntenseQuoteChar"/>
    <w:uiPriority w:val="30"/>
    <w:rsid w:val="004C13D3"/>
    <w:pPr>
      <w:pBdr>
        <w:bottom w:val="single" w:sz="4" w:space="4" w:color="4F2D7F" w:themeColor="accent1"/>
      </w:pBdr>
      <w:spacing w:before="200" w:after="280"/>
      <w:ind w:left="936" w:right="936"/>
    </w:pPr>
    <w:rPr>
      <w:b/>
      <w:bCs/>
      <w:i/>
      <w:iCs/>
      <w:color w:val="4F2D7F" w:themeColor="accent1"/>
    </w:rPr>
  </w:style>
  <w:style w:type="character" w:customStyle="1" w:styleId="IntenseQuoteChar">
    <w:name w:val="Intense Quote Char"/>
    <w:basedOn w:val="DefaultParagraphFont"/>
    <w:link w:val="IntenseQuote"/>
    <w:uiPriority w:val="30"/>
    <w:rsid w:val="004C13D3"/>
    <w:rPr>
      <w:rFonts w:ascii="Garamond" w:hAnsi="Garamond" w:cs="Arial"/>
      <w:b/>
      <w:bCs/>
      <w:i/>
      <w:iCs/>
      <w:color w:val="4F2D7F" w:themeColor="accent1"/>
      <w:sz w:val="22"/>
      <w:lang w:val="en-US"/>
    </w:rPr>
  </w:style>
  <w:style w:type="paragraph" w:styleId="BalloonText">
    <w:name w:val="Balloon Text"/>
    <w:basedOn w:val="Normal"/>
    <w:link w:val="BalloonTextChar"/>
    <w:rsid w:val="00DD5DC6"/>
    <w:rPr>
      <w:rFonts w:ascii="Tahoma" w:hAnsi="Tahoma" w:cs="Tahoma"/>
      <w:sz w:val="16"/>
      <w:szCs w:val="16"/>
    </w:rPr>
  </w:style>
  <w:style w:type="character" w:customStyle="1" w:styleId="BalloonTextChar">
    <w:name w:val="Balloon Text Char"/>
    <w:basedOn w:val="DefaultParagraphFont"/>
    <w:link w:val="BalloonText"/>
    <w:rsid w:val="00DD5DC6"/>
    <w:rPr>
      <w:rFonts w:ascii="Tahoma" w:hAnsi="Tahoma" w:cs="Tahoma"/>
      <w:sz w:val="16"/>
      <w:szCs w:val="16"/>
      <w:lang w:val="en-US"/>
    </w:rPr>
  </w:style>
  <w:style w:type="paragraph" w:styleId="Bibliography">
    <w:name w:val="Bibliography"/>
    <w:basedOn w:val="Normal"/>
    <w:next w:val="Normal"/>
    <w:uiPriority w:val="37"/>
    <w:semiHidden/>
    <w:unhideWhenUsed/>
    <w:rsid w:val="00DD5DC6"/>
  </w:style>
  <w:style w:type="paragraph" w:styleId="BlockText">
    <w:name w:val="Block Text"/>
    <w:basedOn w:val="Normal"/>
    <w:rsid w:val="00DD5DC6"/>
    <w:pPr>
      <w:pBdr>
        <w:top w:val="single" w:sz="2" w:space="10" w:color="4F2D7F" w:themeColor="accent1" w:shadow="1"/>
        <w:left w:val="single" w:sz="2" w:space="10" w:color="4F2D7F" w:themeColor="accent1" w:shadow="1"/>
        <w:bottom w:val="single" w:sz="2" w:space="10" w:color="4F2D7F" w:themeColor="accent1" w:shadow="1"/>
        <w:right w:val="single" w:sz="2" w:space="10" w:color="4F2D7F" w:themeColor="accent1" w:shadow="1"/>
      </w:pBdr>
      <w:ind w:left="1152" w:right="1152"/>
    </w:pPr>
    <w:rPr>
      <w:rFonts w:asciiTheme="minorHAnsi" w:eastAsiaTheme="minorEastAsia" w:hAnsiTheme="minorHAnsi" w:cstheme="minorBidi"/>
      <w:i/>
      <w:iCs/>
      <w:color w:val="4F2D7F" w:themeColor="accent1"/>
    </w:rPr>
  </w:style>
  <w:style w:type="paragraph" w:styleId="BodyText2">
    <w:name w:val="Body Text 2"/>
    <w:basedOn w:val="Normal"/>
    <w:link w:val="BodyText2Char"/>
    <w:rsid w:val="00DD5DC6"/>
    <w:pPr>
      <w:spacing w:after="120" w:line="480" w:lineRule="auto"/>
    </w:pPr>
  </w:style>
  <w:style w:type="character" w:customStyle="1" w:styleId="BodyText2Char">
    <w:name w:val="Body Text 2 Char"/>
    <w:basedOn w:val="DefaultParagraphFont"/>
    <w:link w:val="BodyText2"/>
    <w:rsid w:val="00DD5DC6"/>
    <w:rPr>
      <w:rFonts w:ascii="Garamond" w:hAnsi="Garamond" w:cs="Arial"/>
      <w:sz w:val="22"/>
      <w:lang w:val="en-US"/>
    </w:rPr>
  </w:style>
  <w:style w:type="paragraph" w:styleId="BodyText3">
    <w:name w:val="Body Text 3"/>
    <w:basedOn w:val="Normal"/>
    <w:link w:val="BodyText3Char"/>
    <w:rsid w:val="00DD5DC6"/>
    <w:pPr>
      <w:spacing w:after="120"/>
    </w:pPr>
    <w:rPr>
      <w:sz w:val="16"/>
      <w:szCs w:val="16"/>
    </w:rPr>
  </w:style>
  <w:style w:type="character" w:customStyle="1" w:styleId="BodyText3Char">
    <w:name w:val="Body Text 3 Char"/>
    <w:basedOn w:val="DefaultParagraphFont"/>
    <w:link w:val="BodyText3"/>
    <w:rsid w:val="00DD5DC6"/>
    <w:rPr>
      <w:rFonts w:ascii="Garamond" w:hAnsi="Garamond" w:cs="Arial"/>
      <w:sz w:val="16"/>
      <w:szCs w:val="16"/>
      <w:lang w:val="en-US"/>
    </w:rPr>
  </w:style>
  <w:style w:type="paragraph" w:styleId="BodyTextFirstIndent">
    <w:name w:val="Body Text First Indent"/>
    <w:basedOn w:val="BodyText"/>
    <w:link w:val="BodyTextFirstIndentChar"/>
    <w:rsid w:val="00DD5DC6"/>
    <w:pPr>
      <w:spacing w:after="0" w:line="240" w:lineRule="auto"/>
      <w:ind w:firstLine="360"/>
    </w:pPr>
  </w:style>
  <w:style w:type="character" w:customStyle="1" w:styleId="BodyTextFirstIndentChar">
    <w:name w:val="Body Text First Indent Char"/>
    <w:basedOn w:val="BodyTextChar"/>
    <w:link w:val="BodyTextFirstIndent"/>
    <w:rsid w:val="00DD5DC6"/>
    <w:rPr>
      <w:rFonts w:ascii="Garamond" w:hAnsi="Garamond" w:cs="Arial"/>
      <w:sz w:val="22"/>
      <w:lang w:val="en-US"/>
    </w:rPr>
  </w:style>
  <w:style w:type="paragraph" w:styleId="BodyTextIndent">
    <w:name w:val="Body Text Indent"/>
    <w:basedOn w:val="Normal"/>
    <w:link w:val="BodyTextIndentChar"/>
    <w:rsid w:val="00DD5DC6"/>
    <w:pPr>
      <w:spacing w:after="120"/>
      <w:ind w:left="360"/>
    </w:pPr>
  </w:style>
  <w:style w:type="character" w:customStyle="1" w:styleId="BodyTextIndentChar">
    <w:name w:val="Body Text Indent Char"/>
    <w:basedOn w:val="DefaultParagraphFont"/>
    <w:link w:val="BodyTextIndent"/>
    <w:rsid w:val="00DD5DC6"/>
    <w:rPr>
      <w:rFonts w:ascii="Garamond" w:hAnsi="Garamond" w:cs="Arial"/>
      <w:sz w:val="22"/>
      <w:lang w:val="en-US"/>
    </w:rPr>
  </w:style>
  <w:style w:type="paragraph" w:styleId="BodyTextFirstIndent2">
    <w:name w:val="Body Text First Indent 2"/>
    <w:basedOn w:val="BodyTextIndent"/>
    <w:link w:val="BodyTextFirstIndent2Char"/>
    <w:rsid w:val="00DD5DC6"/>
    <w:pPr>
      <w:spacing w:after="0"/>
      <w:ind w:firstLine="360"/>
    </w:pPr>
  </w:style>
  <w:style w:type="character" w:customStyle="1" w:styleId="BodyTextFirstIndent2Char">
    <w:name w:val="Body Text First Indent 2 Char"/>
    <w:basedOn w:val="BodyTextIndentChar"/>
    <w:link w:val="BodyTextFirstIndent2"/>
    <w:rsid w:val="00DD5DC6"/>
    <w:rPr>
      <w:rFonts w:ascii="Garamond" w:hAnsi="Garamond" w:cs="Arial"/>
      <w:sz w:val="22"/>
      <w:lang w:val="en-US"/>
    </w:rPr>
  </w:style>
  <w:style w:type="paragraph" w:styleId="BodyTextIndent2">
    <w:name w:val="Body Text Indent 2"/>
    <w:basedOn w:val="Normal"/>
    <w:link w:val="BodyTextIndent2Char"/>
    <w:rsid w:val="00DD5DC6"/>
    <w:pPr>
      <w:spacing w:after="120" w:line="480" w:lineRule="auto"/>
      <w:ind w:left="360"/>
    </w:pPr>
  </w:style>
  <w:style w:type="character" w:customStyle="1" w:styleId="BodyTextIndent2Char">
    <w:name w:val="Body Text Indent 2 Char"/>
    <w:basedOn w:val="DefaultParagraphFont"/>
    <w:link w:val="BodyTextIndent2"/>
    <w:rsid w:val="00DD5DC6"/>
    <w:rPr>
      <w:rFonts w:ascii="Garamond" w:hAnsi="Garamond" w:cs="Arial"/>
      <w:sz w:val="22"/>
      <w:lang w:val="en-US"/>
    </w:rPr>
  </w:style>
  <w:style w:type="paragraph" w:styleId="BodyTextIndent3">
    <w:name w:val="Body Text Indent 3"/>
    <w:basedOn w:val="Normal"/>
    <w:link w:val="BodyTextIndent3Char"/>
    <w:rsid w:val="00DD5DC6"/>
    <w:pPr>
      <w:spacing w:after="120"/>
      <w:ind w:left="360"/>
    </w:pPr>
    <w:rPr>
      <w:sz w:val="16"/>
      <w:szCs w:val="16"/>
    </w:rPr>
  </w:style>
  <w:style w:type="character" w:customStyle="1" w:styleId="BodyTextIndent3Char">
    <w:name w:val="Body Text Indent 3 Char"/>
    <w:basedOn w:val="DefaultParagraphFont"/>
    <w:link w:val="BodyTextIndent3"/>
    <w:rsid w:val="00DD5DC6"/>
    <w:rPr>
      <w:rFonts w:ascii="Garamond" w:hAnsi="Garamond" w:cs="Arial"/>
      <w:sz w:val="16"/>
      <w:szCs w:val="16"/>
      <w:lang w:val="en-US"/>
    </w:rPr>
  </w:style>
  <w:style w:type="character" w:styleId="BookTitle">
    <w:name w:val="Book Title"/>
    <w:basedOn w:val="DefaultParagraphFont"/>
    <w:uiPriority w:val="33"/>
    <w:rsid w:val="00DD5DC6"/>
    <w:rPr>
      <w:b/>
      <w:bCs/>
      <w:smallCaps/>
      <w:spacing w:val="5"/>
      <w:lang w:val="en-US"/>
    </w:rPr>
  </w:style>
  <w:style w:type="paragraph" w:styleId="Caption">
    <w:name w:val="caption"/>
    <w:basedOn w:val="Normal"/>
    <w:next w:val="Normal"/>
    <w:semiHidden/>
    <w:unhideWhenUsed/>
    <w:qFormat/>
    <w:rsid w:val="00DD5DC6"/>
    <w:pPr>
      <w:spacing w:after="200"/>
    </w:pPr>
    <w:rPr>
      <w:b/>
      <w:bCs/>
      <w:color w:val="4F2D7F" w:themeColor="accent1"/>
      <w:sz w:val="18"/>
      <w:szCs w:val="18"/>
    </w:rPr>
  </w:style>
  <w:style w:type="paragraph" w:styleId="Closing">
    <w:name w:val="Closing"/>
    <w:basedOn w:val="Normal"/>
    <w:link w:val="ClosingChar"/>
    <w:rsid w:val="00DD5DC6"/>
    <w:pPr>
      <w:ind w:left="4320"/>
    </w:pPr>
  </w:style>
  <w:style w:type="character" w:customStyle="1" w:styleId="ClosingChar">
    <w:name w:val="Closing Char"/>
    <w:basedOn w:val="DefaultParagraphFont"/>
    <w:link w:val="Closing"/>
    <w:rsid w:val="00DD5DC6"/>
    <w:rPr>
      <w:rFonts w:ascii="Garamond" w:hAnsi="Garamond" w:cs="Arial"/>
      <w:sz w:val="22"/>
      <w:lang w:val="en-US"/>
    </w:rPr>
  </w:style>
  <w:style w:type="table" w:styleId="ColorfulGrid">
    <w:name w:val="Colorful Grid"/>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C0D6" w:themeFill="accent2" w:themeFillTint="33"/>
    </w:tcPr>
    <w:tblStylePr w:type="firstRow">
      <w:rPr>
        <w:b/>
        <w:bCs/>
      </w:rPr>
      <w:tblPr/>
      <w:tcPr>
        <w:shd w:val="clear" w:color="auto" w:fill="FF81AD" w:themeFill="accent2" w:themeFillTint="66"/>
      </w:tcPr>
    </w:tblStylePr>
    <w:tblStylePr w:type="lastRow">
      <w:rPr>
        <w:b/>
        <w:bCs/>
        <w:color w:val="000000" w:themeColor="text1"/>
      </w:rPr>
      <w:tblPr/>
      <w:tcPr>
        <w:shd w:val="clear" w:color="auto" w:fill="FF81AD" w:themeFill="accent2" w:themeFillTint="66"/>
      </w:tcPr>
    </w:tblStylePr>
    <w:tblStylePr w:type="firstCol">
      <w:rPr>
        <w:color w:val="FFFFFF" w:themeColor="background1"/>
      </w:rPr>
      <w:tblPr/>
      <w:tcPr>
        <w:shd w:val="clear" w:color="auto" w:fill="920033" w:themeFill="accent2" w:themeFillShade="BF"/>
      </w:tcPr>
    </w:tblStylePr>
    <w:tblStylePr w:type="lastCol">
      <w:rPr>
        <w:color w:val="FFFFFF" w:themeColor="background1"/>
      </w:rPr>
      <w:tblPr/>
      <w:tcPr>
        <w:shd w:val="clear" w:color="auto" w:fill="920033" w:themeFill="accent2" w:themeFillShade="BF"/>
      </w:tc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ColorfulGrid-Accent3">
    <w:name w:val="Colorful Grid Accent 3"/>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DBFF6" w:themeFill="accent3" w:themeFillTint="33"/>
    </w:tcPr>
    <w:tblStylePr w:type="firstRow">
      <w:rPr>
        <w:b/>
        <w:bCs/>
      </w:rPr>
      <w:tblPr/>
      <w:tcPr>
        <w:shd w:val="clear" w:color="auto" w:fill="FB7FEC" w:themeFill="accent3" w:themeFillTint="66"/>
      </w:tcPr>
    </w:tblStylePr>
    <w:tblStylePr w:type="lastRow">
      <w:rPr>
        <w:b/>
        <w:bCs/>
        <w:color w:val="000000" w:themeColor="text1"/>
      </w:rPr>
      <w:tblPr/>
      <w:tcPr>
        <w:shd w:val="clear" w:color="auto" w:fill="FB7FEC" w:themeFill="accent3" w:themeFillTint="66"/>
      </w:tcPr>
    </w:tblStylePr>
    <w:tblStylePr w:type="firstCol">
      <w:rPr>
        <w:color w:val="FFFFFF" w:themeColor="background1"/>
      </w:rPr>
      <w:tblPr/>
      <w:tcPr>
        <w:shd w:val="clear" w:color="auto" w:fill="840375" w:themeFill="accent3" w:themeFillShade="BF"/>
      </w:tcPr>
    </w:tblStylePr>
    <w:tblStylePr w:type="lastCol">
      <w:rPr>
        <w:color w:val="FFFFFF" w:themeColor="background1"/>
      </w:rPr>
      <w:tblPr/>
      <w:tcPr>
        <w:shd w:val="clear" w:color="auto" w:fill="840375" w:themeFill="accent3" w:themeFillShade="BF"/>
      </w:tc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ColorfulGrid-Accent4">
    <w:name w:val="Colorful Grid Accent 4"/>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AEFFED" w:themeFill="accent4" w:themeFillTint="33"/>
    </w:tcPr>
    <w:tblStylePr w:type="firstRow">
      <w:rPr>
        <w:b/>
        <w:bCs/>
      </w:rPr>
      <w:tblPr/>
      <w:tcPr>
        <w:shd w:val="clear" w:color="auto" w:fill="5EFFDB" w:themeFill="accent4" w:themeFillTint="66"/>
      </w:tcPr>
    </w:tblStylePr>
    <w:tblStylePr w:type="lastRow">
      <w:rPr>
        <w:b/>
        <w:bCs/>
        <w:color w:val="000000" w:themeColor="text1"/>
      </w:rPr>
      <w:tblPr/>
      <w:tcPr>
        <w:shd w:val="clear" w:color="auto" w:fill="5EFFDB" w:themeFill="accent4" w:themeFillTint="66"/>
      </w:tcPr>
    </w:tblStylePr>
    <w:tblStylePr w:type="firstCol">
      <w:rPr>
        <w:color w:val="FFFFFF" w:themeColor="background1"/>
      </w:rPr>
      <w:tblPr/>
      <w:tcPr>
        <w:shd w:val="clear" w:color="auto" w:fill="00513F" w:themeFill="accent4" w:themeFillShade="BF"/>
      </w:tcPr>
    </w:tblStylePr>
    <w:tblStylePr w:type="lastCol">
      <w:rPr>
        <w:color w:val="FFFFFF" w:themeColor="background1"/>
      </w:rPr>
      <w:tblPr/>
      <w:tcPr>
        <w:shd w:val="clear" w:color="auto" w:fill="00513F" w:themeFill="accent4" w:themeFillShade="BF"/>
      </w:tc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ColorfulGrid-Accent5">
    <w:name w:val="Colorful Grid Accent 5"/>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E8FFBD" w:themeFill="accent5" w:themeFillTint="33"/>
    </w:tcPr>
    <w:tblStylePr w:type="firstRow">
      <w:rPr>
        <w:b/>
        <w:bCs/>
      </w:rPr>
      <w:tblPr/>
      <w:tcPr>
        <w:shd w:val="clear" w:color="auto" w:fill="D2FF7C" w:themeFill="accent5" w:themeFillTint="66"/>
      </w:tcPr>
    </w:tblStylePr>
    <w:tblStylePr w:type="lastRow">
      <w:rPr>
        <w:b/>
        <w:bCs/>
        <w:color w:val="000000" w:themeColor="text1"/>
      </w:rPr>
      <w:tblPr/>
      <w:tcPr>
        <w:shd w:val="clear" w:color="auto" w:fill="D2FF7C" w:themeFill="accent5" w:themeFillTint="66"/>
      </w:tcPr>
    </w:tblStylePr>
    <w:tblStylePr w:type="firstCol">
      <w:rPr>
        <w:color w:val="FFFFFF" w:themeColor="background1"/>
      </w:rPr>
      <w:tblPr/>
      <w:tcPr>
        <w:shd w:val="clear" w:color="auto" w:fill="5B8900" w:themeFill="accent5" w:themeFillShade="BF"/>
      </w:tcPr>
    </w:tblStylePr>
    <w:tblStylePr w:type="lastCol">
      <w:rPr>
        <w:color w:val="FFFFFF" w:themeColor="background1"/>
      </w:rPr>
      <w:tblPr/>
      <w:tcPr>
        <w:shd w:val="clear" w:color="auto" w:fill="5B8900" w:themeFill="accent5" w:themeFillShade="BF"/>
      </w:tc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ColorfulGrid-Accent6">
    <w:name w:val="Colorful Grid Accent 6"/>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E4CC" w:themeFill="accent6" w:themeFillTint="33"/>
    </w:tcPr>
    <w:tblStylePr w:type="firstRow">
      <w:rPr>
        <w:b/>
        <w:bCs/>
      </w:rPr>
      <w:tblPr/>
      <w:tcPr>
        <w:shd w:val="clear" w:color="auto" w:fill="FFC999" w:themeFill="accent6" w:themeFillTint="66"/>
      </w:tcPr>
    </w:tblStylePr>
    <w:tblStylePr w:type="lastRow">
      <w:rPr>
        <w:b/>
        <w:bCs/>
        <w:color w:val="000000" w:themeColor="text1"/>
      </w:rPr>
      <w:tblPr/>
      <w:tcPr>
        <w:shd w:val="clear" w:color="auto" w:fill="FFC999" w:themeFill="accent6" w:themeFillTint="66"/>
      </w:tcPr>
    </w:tblStylePr>
    <w:tblStylePr w:type="firstCol">
      <w:rPr>
        <w:color w:val="FFFFFF" w:themeColor="background1"/>
      </w:rPr>
      <w:tblPr/>
      <w:tcPr>
        <w:shd w:val="clear" w:color="auto" w:fill="BF5A00" w:themeFill="accent6" w:themeFillShade="BF"/>
      </w:tcPr>
    </w:tblStylePr>
    <w:tblStylePr w:type="lastCol">
      <w:rPr>
        <w:color w:val="FFFFFF" w:themeColor="background1"/>
      </w:rPr>
      <w:tblPr/>
      <w:tcPr>
        <w:shd w:val="clear" w:color="auto" w:fill="BF5A00" w:themeFill="accent6" w:themeFillShade="BF"/>
      </w:tc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ColorfulList">
    <w:name w:val="Colorful List"/>
    <w:basedOn w:val="TableNormal"/>
    <w:uiPriority w:val="72"/>
    <w:rsid w:val="00DD5DC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5DC6"/>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rsid w:val="00DD5DC6"/>
    <w:rPr>
      <w:color w:val="000000" w:themeColor="text1"/>
    </w:rPr>
    <w:tblPr>
      <w:tblStyleRowBandSize w:val="1"/>
      <w:tblStyleColBandSize w:val="1"/>
    </w:tblPr>
    <w:tcPr>
      <w:shd w:val="clear" w:color="auto" w:fill="FFE0EA" w:themeFill="accent2"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CC" w:themeFill="accent2" w:themeFillTint="3F"/>
      </w:tcPr>
    </w:tblStylePr>
    <w:tblStylePr w:type="band1Horz">
      <w:tblPr/>
      <w:tcPr>
        <w:shd w:val="clear" w:color="auto" w:fill="FFC0D6" w:themeFill="accent2" w:themeFillTint="33"/>
      </w:tcPr>
    </w:tblStylePr>
  </w:style>
  <w:style w:type="table" w:styleId="ColorfulList-Accent3">
    <w:name w:val="Colorful List Accent 3"/>
    <w:basedOn w:val="TableNormal"/>
    <w:uiPriority w:val="72"/>
    <w:rsid w:val="00DD5DC6"/>
    <w:rPr>
      <w:color w:val="000000" w:themeColor="text1"/>
    </w:rPr>
    <w:tblPr>
      <w:tblStyleRowBandSize w:val="1"/>
      <w:tblStyleColBandSize w:val="1"/>
    </w:tblPr>
    <w:tcPr>
      <w:shd w:val="clear" w:color="auto" w:fill="FEDFFA" w:themeFill="accent3" w:themeFillTint="19"/>
    </w:tcPr>
    <w:tblStylePr w:type="firstRow">
      <w:rPr>
        <w:b/>
        <w:bCs/>
        <w:color w:val="FFFFFF" w:themeColor="background1"/>
      </w:rPr>
      <w:tblPr/>
      <w:tcPr>
        <w:tcBorders>
          <w:bottom w:val="single" w:sz="12" w:space="0" w:color="FFFFFF" w:themeColor="background1"/>
        </w:tcBorders>
        <w:shd w:val="clear" w:color="auto" w:fill="005743" w:themeFill="accent4" w:themeFillShade="CC"/>
      </w:tcPr>
    </w:tblStylePr>
    <w:tblStylePr w:type="lastRow">
      <w:rPr>
        <w:b/>
        <w:bCs/>
        <w:color w:val="0057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AFF3" w:themeFill="accent3" w:themeFillTint="3F"/>
      </w:tcPr>
    </w:tblStylePr>
    <w:tblStylePr w:type="band1Horz">
      <w:tblPr/>
      <w:tcPr>
        <w:shd w:val="clear" w:color="auto" w:fill="FDBFF6" w:themeFill="accent3" w:themeFillTint="33"/>
      </w:tcPr>
    </w:tblStylePr>
  </w:style>
  <w:style w:type="table" w:styleId="ColorfulList-Accent4">
    <w:name w:val="Colorful List Accent 4"/>
    <w:basedOn w:val="TableNormal"/>
    <w:uiPriority w:val="72"/>
    <w:rsid w:val="00DD5DC6"/>
    <w:rPr>
      <w:color w:val="000000" w:themeColor="text1"/>
    </w:rPr>
    <w:tblPr>
      <w:tblStyleRowBandSize w:val="1"/>
      <w:tblStyleColBandSize w:val="1"/>
    </w:tblPr>
    <w:tcPr>
      <w:shd w:val="clear" w:color="auto" w:fill="D7FFF6" w:themeFill="accent4" w:themeFillTint="19"/>
    </w:tcPr>
    <w:tblStylePr w:type="firstRow">
      <w:rPr>
        <w:b/>
        <w:bCs/>
        <w:color w:val="FFFFFF" w:themeColor="background1"/>
      </w:rPr>
      <w:tblPr/>
      <w:tcPr>
        <w:tcBorders>
          <w:bottom w:val="single" w:sz="12" w:space="0" w:color="FFFFFF" w:themeColor="background1"/>
        </w:tcBorders>
        <w:shd w:val="clear" w:color="auto" w:fill="8D047D" w:themeFill="accent3" w:themeFillShade="CC"/>
      </w:tcPr>
    </w:tblStylePr>
    <w:tblStylePr w:type="lastRow">
      <w:rPr>
        <w:b/>
        <w:bCs/>
        <w:color w:val="8D047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FFE8" w:themeFill="accent4" w:themeFillTint="3F"/>
      </w:tcPr>
    </w:tblStylePr>
    <w:tblStylePr w:type="band1Horz">
      <w:tblPr/>
      <w:tcPr>
        <w:shd w:val="clear" w:color="auto" w:fill="AEFFED" w:themeFill="accent4" w:themeFillTint="33"/>
      </w:tcPr>
    </w:tblStylePr>
  </w:style>
  <w:style w:type="table" w:styleId="ColorfulList-Accent5">
    <w:name w:val="Colorful List Accent 5"/>
    <w:basedOn w:val="TableNormal"/>
    <w:uiPriority w:val="72"/>
    <w:rsid w:val="00DD5DC6"/>
    <w:rPr>
      <w:color w:val="000000" w:themeColor="text1"/>
    </w:rPr>
    <w:tblPr>
      <w:tblStyleRowBandSize w:val="1"/>
      <w:tblStyleColBandSize w:val="1"/>
    </w:tblPr>
    <w:tcPr>
      <w:shd w:val="clear" w:color="auto" w:fill="F4FFDF" w:themeFill="accent5" w:themeFillTint="19"/>
    </w:tcPr>
    <w:tblStylePr w:type="firstRow">
      <w:rPr>
        <w:b/>
        <w:bCs/>
        <w:color w:val="FFFFFF" w:themeColor="background1"/>
      </w:rPr>
      <w:tblPr/>
      <w:tcPr>
        <w:tcBorders>
          <w:bottom w:val="single" w:sz="12" w:space="0" w:color="FFFFFF" w:themeColor="background1"/>
        </w:tcBorders>
        <w:shd w:val="clear" w:color="auto" w:fill="CC6000" w:themeFill="accent6" w:themeFillShade="CC"/>
      </w:tcPr>
    </w:tblStylePr>
    <w:tblStylePr w:type="lastRow">
      <w:rPr>
        <w:b/>
        <w:bCs/>
        <w:color w:val="CC6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5" w:themeFillTint="3F"/>
      </w:tcPr>
    </w:tblStylePr>
    <w:tblStylePr w:type="band1Horz">
      <w:tblPr/>
      <w:tcPr>
        <w:shd w:val="clear" w:color="auto" w:fill="E8FFBD" w:themeFill="accent5" w:themeFillTint="33"/>
      </w:tcPr>
    </w:tblStylePr>
  </w:style>
  <w:style w:type="table" w:styleId="ColorfulList-Accent6">
    <w:name w:val="Colorful List Accent 6"/>
    <w:basedOn w:val="TableNormal"/>
    <w:uiPriority w:val="72"/>
    <w:rsid w:val="00DD5DC6"/>
    <w:rPr>
      <w:color w:val="000000" w:themeColor="text1"/>
    </w:rPr>
    <w:tblPr>
      <w:tblStyleRowBandSize w:val="1"/>
      <w:tblStyleColBandSize w:val="1"/>
    </w:tblPr>
    <w:tcPr>
      <w:shd w:val="clear" w:color="auto" w:fill="FFF1E6" w:themeFill="accent6" w:themeFillTint="19"/>
    </w:tcPr>
    <w:tblStylePr w:type="firstRow">
      <w:rPr>
        <w:b/>
        <w:bCs/>
        <w:color w:val="FFFFFF" w:themeColor="background1"/>
      </w:rPr>
      <w:tblPr/>
      <w:tcPr>
        <w:tcBorders>
          <w:bottom w:val="single" w:sz="12" w:space="0" w:color="FFFFFF" w:themeColor="background1"/>
        </w:tcBorders>
        <w:shd w:val="clear" w:color="auto" w:fill="619300" w:themeFill="accent5" w:themeFillShade="CC"/>
      </w:tcPr>
    </w:tblStylePr>
    <w:tblStylePr w:type="lastRow">
      <w:rPr>
        <w:b/>
        <w:bCs/>
        <w:color w:val="619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0" w:themeFill="accent6" w:themeFillTint="3F"/>
      </w:tcPr>
    </w:tblStylePr>
    <w:tblStylePr w:type="band1Horz">
      <w:tblPr/>
      <w:tcPr>
        <w:shd w:val="clear" w:color="auto" w:fill="FFE4CC" w:themeFill="accent6" w:themeFillTint="33"/>
      </w:tcPr>
    </w:tblStylePr>
  </w:style>
  <w:style w:type="table" w:styleId="ColorfulShading">
    <w:name w:val="Colorful Shading"/>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C30045" w:themeColor="accent2"/>
        <w:bottom w:val="single" w:sz="4" w:space="0" w:color="C30045" w:themeColor="accent2"/>
        <w:right w:val="single" w:sz="4" w:space="0" w:color="C30045" w:themeColor="accent2"/>
        <w:insideH w:val="single" w:sz="4" w:space="0" w:color="FFFFFF" w:themeColor="background1"/>
        <w:insideV w:val="single" w:sz="4" w:space="0" w:color="FFFFFF" w:themeColor="background1"/>
      </w:tblBorders>
    </w:tblPr>
    <w:tcPr>
      <w:shd w:val="clear" w:color="auto" w:fill="FFE0EA" w:themeFill="accent2"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29" w:themeFill="accent2" w:themeFillShade="99"/>
      </w:tcPr>
    </w:tblStylePr>
    <w:tblStylePr w:type="firstCol">
      <w:rPr>
        <w:color w:val="FFFFFF" w:themeColor="background1"/>
      </w:rPr>
      <w:tblPr/>
      <w:tcPr>
        <w:tcBorders>
          <w:top w:val="nil"/>
          <w:left w:val="nil"/>
          <w:bottom w:val="nil"/>
          <w:right w:val="nil"/>
          <w:insideH w:val="single" w:sz="4" w:space="0" w:color="750029" w:themeColor="accent2" w:themeShade="99"/>
          <w:insideV w:val="nil"/>
        </w:tcBorders>
        <w:shd w:val="clear" w:color="auto" w:fill="7500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50029" w:themeFill="accent2" w:themeFillShade="99"/>
      </w:tcPr>
    </w:tblStylePr>
    <w:tblStylePr w:type="band1Vert">
      <w:tblPr/>
      <w:tcPr>
        <w:shd w:val="clear" w:color="auto" w:fill="FF81AD" w:themeFill="accent2" w:themeFillTint="66"/>
      </w:tcPr>
    </w:tblStylePr>
    <w:tblStylePr w:type="band1Horz">
      <w:tblPr/>
      <w:tcPr>
        <w:shd w:val="clear" w:color="auto" w:fill="FF62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5DC6"/>
    <w:rPr>
      <w:color w:val="000000" w:themeColor="text1"/>
    </w:rPr>
    <w:tblPr>
      <w:tblStyleRowBandSize w:val="1"/>
      <w:tblStyleColBandSize w:val="1"/>
      <w:tblBorders>
        <w:top w:val="single" w:sz="24" w:space="0" w:color="006D55" w:themeColor="accent4"/>
        <w:left w:val="single" w:sz="4" w:space="0" w:color="B1059D" w:themeColor="accent3"/>
        <w:bottom w:val="single" w:sz="4" w:space="0" w:color="B1059D" w:themeColor="accent3"/>
        <w:right w:val="single" w:sz="4" w:space="0" w:color="B1059D" w:themeColor="accent3"/>
        <w:insideH w:val="single" w:sz="4" w:space="0" w:color="FFFFFF" w:themeColor="background1"/>
        <w:insideV w:val="single" w:sz="4" w:space="0" w:color="FFFFFF" w:themeColor="background1"/>
      </w:tblBorders>
    </w:tblPr>
    <w:tcPr>
      <w:shd w:val="clear" w:color="auto" w:fill="FEDFFA" w:themeFill="accent3" w:themeFillTint="19"/>
    </w:tcPr>
    <w:tblStylePr w:type="firstRow">
      <w:rPr>
        <w:b/>
        <w:bCs/>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35D" w:themeFill="accent3" w:themeFillShade="99"/>
      </w:tcPr>
    </w:tblStylePr>
    <w:tblStylePr w:type="firstCol">
      <w:rPr>
        <w:color w:val="FFFFFF" w:themeColor="background1"/>
      </w:rPr>
      <w:tblPr/>
      <w:tcPr>
        <w:tcBorders>
          <w:top w:val="nil"/>
          <w:left w:val="nil"/>
          <w:bottom w:val="nil"/>
          <w:right w:val="nil"/>
          <w:insideH w:val="single" w:sz="4" w:space="0" w:color="69035D" w:themeColor="accent3" w:themeShade="99"/>
          <w:insideV w:val="nil"/>
        </w:tcBorders>
        <w:shd w:val="clear" w:color="auto" w:fill="69035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035D" w:themeFill="accent3" w:themeFillShade="99"/>
      </w:tcPr>
    </w:tblStylePr>
    <w:tblStylePr w:type="band1Vert">
      <w:tblPr/>
      <w:tcPr>
        <w:shd w:val="clear" w:color="auto" w:fill="FB7FEC" w:themeFill="accent3" w:themeFillTint="66"/>
      </w:tcPr>
    </w:tblStylePr>
    <w:tblStylePr w:type="band1Horz">
      <w:tblPr/>
      <w:tcPr>
        <w:shd w:val="clear" w:color="auto" w:fill="FA5FE8" w:themeFill="accent3" w:themeFillTint="7F"/>
      </w:tcPr>
    </w:tblStylePr>
  </w:style>
  <w:style w:type="table" w:styleId="ColorfulShading-Accent4">
    <w:name w:val="Colorful Shading Accent 4"/>
    <w:basedOn w:val="TableNormal"/>
    <w:uiPriority w:val="71"/>
    <w:rsid w:val="00DD5DC6"/>
    <w:rPr>
      <w:color w:val="000000" w:themeColor="text1"/>
    </w:rPr>
    <w:tblPr>
      <w:tblStyleRowBandSize w:val="1"/>
      <w:tblStyleColBandSize w:val="1"/>
      <w:tblBorders>
        <w:top w:val="single" w:sz="24" w:space="0" w:color="B1059D" w:themeColor="accent3"/>
        <w:left w:val="single" w:sz="4" w:space="0" w:color="006D55" w:themeColor="accent4"/>
        <w:bottom w:val="single" w:sz="4" w:space="0" w:color="006D55" w:themeColor="accent4"/>
        <w:right w:val="single" w:sz="4" w:space="0" w:color="006D55" w:themeColor="accent4"/>
        <w:insideH w:val="single" w:sz="4" w:space="0" w:color="FFFFFF" w:themeColor="background1"/>
        <w:insideV w:val="single" w:sz="4" w:space="0" w:color="FFFFFF" w:themeColor="background1"/>
      </w:tblBorders>
    </w:tblPr>
    <w:tcPr>
      <w:shd w:val="clear" w:color="auto" w:fill="D7FFF6" w:themeFill="accent4" w:themeFillTint="19"/>
    </w:tcPr>
    <w:tblStylePr w:type="firstRow">
      <w:rPr>
        <w:b/>
        <w:bCs/>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32" w:themeFill="accent4" w:themeFillShade="99"/>
      </w:tcPr>
    </w:tblStylePr>
    <w:tblStylePr w:type="firstCol">
      <w:rPr>
        <w:color w:val="FFFFFF" w:themeColor="background1"/>
      </w:rPr>
      <w:tblPr/>
      <w:tcPr>
        <w:tcBorders>
          <w:top w:val="nil"/>
          <w:left w:val="nil"/>
          <w:bottom w:val="nil"/>
          <w:right w:val="nil"/>
          <w:insideH w:val="single" w:sz="4" w:space="0" w:color="004132" w:themeColor="accent4" w:themeShade="99"/>
          <w:insideV w:val="nil"/>
        </w:tcBorders>
        <w:shd w:val="clear" w:color="auto" w:fill="0041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132" w:themeFill="accent4" w:themeFillShade="99"/>
      </w:tcPr>
    </w:tblStylePr>
    <w:tblStylePr w:type="band1Vert">
      <w:tblPr/>
      <w:tcPr>
        <w:shd w:val="clear" w:color="auto" w:fill="5EFFDB" w:themeFill="accent4" w:themeFillTint="66"/>
      </w:tcPr>
    </w:tblStylePr>
    <w:tblStylePr w:type="band1Horz">
      <w:tblPr/>
      <w:tcPr>
        <w:shd w:val="clear" w:color="auto" w:fill="37FF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5DC6"/>
    <w:rPr>
      <w:color w:val="000000" w:themeColor="text1"/>
    </w:rPr>
    <w:tblPr>
      <w:tblStyleRowBandSize w:val="1"/>
      <w:tblStyleColBandSize w:val="1"/>
      <w:tblBorders>
        <w:top w:val="single" w:sz="24" w:space="0" w:color="FF7900" w:themeColor="accent6"/>
        <w:left w:val="single" w:sz="4" w:space="0" w:color="7AB800" w:themeColor="accent5"/>
        <w:bottom w:val="single" w:sz="4" w:space="0" w:color="7AB800" w:themeColor="accent5"/>
        <w:right w:val="single" w:sz="4" w:space="0" w:color="7AB800" w:themeColor="accent5"/>
        <w:insideH w:val="single" w:sz="4" w:space="0" w:color="FFFFFF" w:themeColor="background1"/>
        <w:insideV w:val="single" w:sz="4" w:space="0" w:color="FFFFFF" w:themeColor="background1"/>
      </w:tblBorders>
    </w:tblPr>
    <w:tcPr>
      <w:shd w:val="clear" w:color="auto" w:fill="F4FFDF" w:themeFill="accent5" w:themeFillTint="19"/>
    </w:tcPr>
    <w:tblStylePr w:type="firstRow">
      <w:rPr>
        <w:b/>
        <w:bCs/>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5" w:themeFillShade="99"/>
      </w:tcPr>
    </w:tblStylePr>
    <w:tblStylePr w:type="firstCol">
      <w:rPr>
        <w:color w:val="FFFFFF" w:themeColor="background1"/>
      </w:rPr>
      <w:tblPr/>
      <w:tcPr>
        <w:tcBorders>
          <w:top w:val="nil"/>
          <w:left w:val="nil"/>
          <w:bottom w:val="nil"/>
          <w:right w:val="nil"/>
          <w:insideH w:val="single" w:sz="4" w:space="0" w:color="496E00" w:themeColor="accent5" w:themeShade="99"/>
          <w:insideV w:val="nil"/>
        </w:tcBorders>
        <w:shd w:val="clear" w:color="auto" w:fill="496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5" w:themeFillShade="99"/>
      </w:tcPr>
    </w:tblStylePr>
    <w:tblStylePr w:type="band1Vert">
      <w:tblPr/>
      <w:tcPr>
        <w:shd w:val="clear" w:color="auto" w:fill="D2FF7C" w:themeFill="accent5" w:themeFillTint="66"/>
      </w:tcPr>
    </w:tblStylePr>
    <w:tblStylePr w:type="band1Horz">
      <w:tblPr/>
      <w:tcPr>
        <w:shd w:val="clear" w:color="auto" w:fill="C8FF5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5DC6"/>
    <w:rPr>
      <w:color w:val="000000" w:themeColor="text1"/>
    </w:rPr>
    <w:tblPr>
      <w:tblStyleRowBandSize w:val="1"/>
      <w:tblStyleColBandSize w:val="1"/>
      <w:tblBorders>
        <w:top w:val="single" w:sz="24" w:space="0" w:color="7AB800" w:themeColor="accent5"/>
        <w:left w:val="single" w:sz="4" w:space="0" w:color="FF7900" w:themeColor="accent6"/>
        <w:bottom w:val="single" w:sz="4" w:space="0" w:color="FF7900" w:themeColor="accent6"/>
        <w:right w:val="single" w:sz="4" w:space="0" w:color="FF7900" w:themeColor="accent6"/>
        <w:insideH w:val="single" w:sz="4" w:space="0" w:color="FFFFFF" w:themeColor="background1"/>
        <w:insideV w:val="single" w:sz="4" w:space="0" w:color="FFFFFF" w:themeColor="background1"/>
      </w:tblBorders>
    </w:tblPr>
    <w:tcPr>
      <w:shd w:val="clear" w:color="auto" w:fill="FFF1E6" w:themeFill="accent6" w:themeFillTint="19"/>
    </w:tcPr>
    <w:tblStylePr w:type="firstRow">
      <w:rPr>
        <w:b/>
        <w:bCs/>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800" w:themeFill="accent6" w:themeFillShade="99"/>
      </w:tcPr>
    </w:tblStylePr>
    <w:tblStylePr w:type="firstCol">
      <w:rPr>
        <w:color w:val="FFFFFF" w:themeColor="background1"/>
      </w:rPr>
      <w:tblPr/>
      <w:tcPr>
        <w:tcBorders>
          <w:top w:val="nil"/>
          <w:left w:val="nil"/>
          <w:bottom w:val="nil"/>
          <w:right w:val="nil"/>
          <w:insideH w:val="single" w:sz="4" w:space="0" w:color="994800" w:themeColor="accent6" w:themeShade="99"/>
          <w:insideV w:val="nil"/>
        </w:tcBorders>
        <w:shd w:val="clear" w:color="auto" w:fill="9948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4800" w:themeFill="accent6" w:themeFillShade="99"/>
      </w:tcPr>
    </w:tblStylePr>
    <w:tblStylePr w:type="band1Vert">
      <w:tblPr/>
      <w:tcPr>
        <w:shd w:val="clear" w:color="auto" w:fill="FFC999" w:themeFill="accent6" w:themeFillTint="66"/>
      </w:tcPr>
    </w:tblStylePr>
    <w:tblStylePr w:type="band1Horz">
      <w:tblPr/>
      <w:tcPr>
        <w:shd w:val="clear" w:color="auto" w:fill="FFBC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DD5DC6"/>
    <w:rPr>
      <w:sz w:val="16"/>
      <w:szCs w:val="16"/>
      <w:lang w:val="en-US"/>
    </w:rPr>
  </w:style>
  <w:style w:type="paragraph" w:styleId="CommentText">
    <w:name w:val="annotation text"/>
    <w:basedOn w:val="Normal"/>
    <w:link w:val="CommentTextChar"/>
    <w:rsid w:val="00DD5DC6"/>
    <w:rPr>
      <w:sz w:val="20"/>
    </w:rPr>
  </w:style>
  <w:style w:type="character" w:customStyle="1" w:styleId="CommentTextChar">
    <w:name w:val="Comment Text Char"/>
    <w:basedOn w:val="DefaultParagraphFont"/>
    <w:link w:val="CommentText"/>
    <w:rsid w:val="00DD5DC6"/>
    <w:rPr>
      <w:rFonts w:ascii="Garamond" w:hAnsi="Garamond" w:cs="Arial"/>
      <w:lang w:val="en-US"/>
    </w:rPr>
  </w:style>
  <w:style w:type="paragraph" w:styleId="CommentSubject">
    <w:name w:val="annotation subject"/>
    <w:basedOn w:val="CommentText"/>
    <w:next w:val="CommentText"/>
    <w:link w:val="CommentSubjectChar"/>
    <w:rsid w:val="00DD5DC6"/>
    <w:rPr>
      <w:b/>
      <w:bCs/>
    </w:rPr>
  </w:style>
  <w:style w:type="character" w:customStyle="1" w:styleId="CommentSubjectChar">
    <w:name w:val="Comment Subject Char"/>
    <w:basedOn w:val="CommentTextChar"/>
    <w:link w:val="CommentSubject"/>
    <w:rsid w:val="00DD5DC6"/>
    <w:rPr>
      <w:rFonts w:ascii="Garamond" w:hAnsi="Garamond" w:cs="Arial"/>
      <w:b/>
      <w:bCs/>
      <w:lang w:val="en-US"/>
    </w:rPr>
  </w:style>
  <w:style w:type="table" w:styleId="DarkList">
    <w:name w:val="Dark List"/>
    <w:basedOn w:val="TableNormal"/>
    <w:uiPriority w:val="70"/>
    <w:rsid w:val="00DD5DC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5DC6"/>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rsid w:val="00DD5DC6"/>
    <w:rPr>
      <w:color w:val="FFFFFF" w:themeColor="background1"/>
    </w:rPr>
    <w:tblPr>
      <w:tblStyleRowBandSize w:val="1"/>
      <w:tblStyleColBandSize w:val="1"/>
    </w:tblPr>
    <w:tcPr>
      <w:shd w:val="clear" w:color="auto" w:fill="C300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200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20033" w:themeFill="accent2" w:themeFillShade="BF"/>
      </w:tcPr>
    </w:tblStylePr>
    <w:tblStylePr w:type="band1Vert">
      <w:tblPr/>
      <w:tcPr>
        <w:tcBorders>
          <w:top w:val="nil"/>
          <w:left w:val="nil"/>
          <w:bottom w:val="nil"/>
          <w:right w:val="nil"/>
          <w:insideH w:val="nil"/>
          <w:insideV w:val="nil"/>
        </w:tcBorders>
        <w:shd w:val="clear" w:color="auto" w:fill="920033" w:themeFill="accent2" w:themeFillShade="BF"/>
      </w:tcPr>
    </w:tblStylePr>
    <w:tblStylePr w:type="band1Horz">
      <w:tblPr/>
      <w:tcPr>
        <w:tcBorders>
          <w:top w:val="nil"/>
          <w:left w:val="nil"/>
          <w:bottom w:val="nil"/>
          <w:right w:val="nil"/>
          <w:insideH w:val="nil"/>
          <w:insideV w:val="nil"/>
        </w:tcBorders>
        <w:shd w:val="clear" w:color="auto" w:fill="920033" w:themeFill="accent2" w:themeFillShade="BF"/>
      </w:tcPr>
    </w:tblStylePr>
  </w:style>
  <w:style w:type="table" w:styleId="DarkList-Accent3">
    <w:name w:val="Dark List Accent 3"/>
    <w:basedOn w:val="TableNormal"/>
    <w:uiPriority w:val="70"/>
    <w:rsid w:val="00DD5DC6"/>
    <w:rPr>
      <w:color w:val="FFFFFF" w:themeColor="background1"/>
    </w:rPr>
    <w:tblPr>
      <w:tblStyleRowBandSize w:val="1"/>
      <w:tblStyleColBandSize w:val="1"/>
    </w:tblPr>
    <w:tcPr>
      <w:shd w:val="clear" w:color="auto" w:fill="B1059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2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037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0375" w:themeFill="accent3" w:themeFillShade="BF"/>
      </w:tcPr>
    </w:tblStylePr>
    <w:tblStylePr w:type="band1Vert">
      <w:tblPr/>
      <w:tcPr>
        <w:tcBorders>
          <w:top w:val="nil"/>
          <w:left w:val="nil"/>
          <w:bottom w:val="nil"/>
          <w:right w:val="nil"/>
          <w:insideH w:val="nil"/>
          <w:insideV w:val="nil"/>
        </w:tcBorders>
        <w:shd w:val="clear" w:color="auto" w:fill="840375" w:themeFill="accent3" w:themeFillShade="BF"/>
      </w:tcPr>
    </w:tblStylePr>
    <w:tblStylePr w:type="band1Horz">
      <w:tblPr/>
      <w:tcPr>
        <w:tcBorders>
          <w:top w:val="nil"/>
          <w:left w:val="nil"/>
          <w:bottom w:val="nil"/>
          <w:right w:val="nil"/>
          <w:insideH w:val="nil"/>
          <w:insideV w:val="nil"/>
        </w:tcBorders>
        <w:shd w:val="clear" w:color="auto" w:fill="840375" w:themeFill="accent3" w:themeFillShade="BF"/>
      </w:tcPr>
    </w:tblStylePr>
  </w:style>
  <w:style w:type="table" w:styleId="DarkList-Accent4">
    <w:name w:val="Dark List Accent 4"/>
    <w:basedOn w:val="TableNormal"/>
    <w:uiPriority w:val="70"/>
    <w:rsid w:val="00DD5DC6"/>
    <w:rPr>
      <w:color w:val="FFFFFF" w:themeColor="background1"/>
    </w:rPr>
    <w:tblPr>
      <w:tblStyleRowBandSize w:val="1"/>
      <w:tblStyleColBandSize w:val="1"/>
    </w:tblPr>
    <w:tcPr>
      <w:shd w:val="clear" w:color="auto" w:fill="006D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1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13F" w:themeFill="accent4" w:themeFillShade="BF"/>
      </w:tcPr>
    </w:tblStylePr>
    <w:tblStylePr w:type="band1Vert">
      <w:tblPr/>
      <w:tcPr>
        <w:tcBorders>
          <w:top w:val="nil"/>
          <w:left w:val="nil"/>
          <w:bottom w:val="nil"/>
          <w:right w:val="nil"/>
          <w:insideH w:val="nil"/>
          <w:insideV w:val="nil"/>
        </w:tcBorders>
        <w:shd w:val="clear" w:color="auto" w:fill="00513F" w:themeFill="accent4" w:themeFillShade="BF"/>
      </w:tcPr>
    </w:tblStylePr>
    <w:tblStylePr w:type="band1Horz">
      <w:tblPr/>
      <w:tcPr>
        <w:tcBorders>
          <w:top w:val="nil"/>
          <w:left w:val="nil"/>
          <w:bottom w:val="nil"/>
          <w:right w:val="nil"/>
          <w:insideH w:val="nil"/>
          <w:insideV w:val="nil"/>
        </w:tcBorders>
        <w:shd w:val="clear" w:color="auto" w:fill="00513F" w:themeFill="accent4" w:themeFillShade="BF"/>
      </w:tcPr>
    </w:tblStylePr>
  </w:style>
  <w:style w:type="table" w:styleId="DarkList-Accent5">
    <w:name w:val="Dark List Accent 5"/>
    <w:basedOn w:val="TableNormal"/>
    <w:uiPriority w:val="70"/>
    <w:rsid w:val="00DD5DC6"/>
    <w:rPr>
      <w:color w:val="FFFFFF" w:themeColor="background1"/>
    </w:rPr>
    <w:tblPr>
      <w:tblStyleRowBandSize w:val="1"/>
      <w:tblStyleColBandSize w:val="1"/>
    </w:tblPr>
    <w:tcPr>
      <w:shd w:val="clear" w:color="auto" w:fill="7AB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5" w:themeFillShade="BF"/>
      </w:tcPr>
    </w:tblStylePr>
    <w:tblStylePr w:type="band1Vert">
      <w:tblPr/>
      <w:tcPr>
        <w:tcBorders>
          <w:top w:val="nil"/>
          <w:left w:val="nil"/>
          <w:bottom w:val="nil"/>
          <w:right w:val="nil"/>
          <w:insideH w:val="nil"/>
          <w:insideV w:val="nil"/>
        </w:tcBorders>
        <w:shd w:val="clear" w:color="auto" w:fill="5B8900" w:themeFill="accent5" w:themeFillShade="BF"/>
      </w:tcPr>
    </w:tblStylePr>
    <w:tblStylePr w:type="band1Horz">
      <w:tblPr/>
      <w:tcPr>
        <w:tcBorders>
          <w:top w:val="nil"/>
          <w:left w:val="nil"/>
          <w:bottom w:val="nil"/>
          <w:right w:val="nil"/>
          <w:insideH w:val="nil"/>
          <w:insideV w:val="nil"/>
        </w:tcBorders>
        <w:shd w:val="clear" w:color="auto" w:fill="5B8900" w:themeFill="accent5" w:themeFillShade="BF"/>
      </w:tcPr>
    </w:tblStylePr>
  </w:style>
  <w:style w:type="table" w:styleId="DarkList-Accent6">
    <w:name w:val="Dark List Accent 6"/>
    <w:basedOn w:val="TableNormal"/>
    <w:uiPriority w:val="70"/>
    <w:rsid w:val="00DD5DC6"/>
    <w:rPr>
      <w:color w:val="FFFFFF" w:themeColor="background1"/>
    </w:rPr>
    <w:tblPr>
      <w:tblStyleRowBandSize w:val="1"/>
      <w:tblStyleColBandSize w:val="1"/>
    </w:tblPr>
    <w:tcPr>
      <w:shd w:val="clear" w:color="auto" w:fill="FF79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5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5A00" w:themeFill="accent6" w:themeFillShade="BF"/>
      </w:tcPr>
    </w:tblStylePr>
    <w:tblStylePr w:type="band1Vert">
      <w:tblPr/>
      <w:tcPr>
        <w:tcBorders>
          <w:top w:val="nil"/>
          <w:left w:val="nil"/>
          <w:bottom w:val="nil"/>
          <w:right w:val="nil"/>
          <w:insideH w:val="nil"/>
          <w:insideV w:val="nil"/>
        </w:tcBorders>
        <w:shd w:val="clear" w:color="auto" w:fill="BF5A00" w:themeFill="accent6" w:themeFillShade="BF"/>
      </w:tcPr>
    </w:tblStylePr>
    <w:tblStylePr w:type="band1Horz">
      <w:tblPr/>
      <w:tcPr>
        <w:tcBorders>
          <w:top w:val="nil"/>
          <w:left w:val="nil"/>
          <w:bottom w:val="nil"/>
          <w:right w:val="nil"/>
          <w:insideH w:val="nil"/>
          <w:insideV w:val="nil"/>
        </w:tcBorders>
        <w:shd w:val="clear" w:color="auto" w:fill="BF5A00" w:themeFill="accent6" w:themeFillShade="BF"/>
      </w:tcPr>
    </w:tblStylePr>
  </w:style>
  <w:style w:type="paragraph" w:styleId="Date">
    <w:name w:val="Date"/>
    <w:basedOn w:val="Normal"/>
    <w:next w:val="Normal"/>
    <w:link w:val="DateChar"/>
    <w:rsid w:val="00DD5DC6"/>
  </w:style>
  <w:style w:type="character" w:customStyle="1" w:styleId="DateChar">
    <w:name w:val="Date Char"/>
    <w:basedOn w:val="DefaultParagraphFont"/>
    <w:link w:val="Date"/>
    <w:rsid w:val="00DD5DC6"/>
    <w:rPr>
      <w:rFonts w:ascii="Garamond" w:hAnsi="Garamond" w:cs="Arial"/>
      <w:sz w:val="22"/>
      <w:lang w:val="en-US"/>
    </w:rPr>
  </w:style>
  <w:style w:type="paragraph" w:styleId="DocumentMap">
    <w:name w:val="Document Map"/>
    <w:basedOn w:val="Normal"/>
    <w:link w:val="DocumentMapChar"/>
    <w:rsid w:val="00DD5DC6"/>
    <w:rPr>
      <w:rFonts w:ascii="Tahoma" w:hAnsi="Tahoma" w:cs="Tahoma"/>
      <w:sz w:val="16"/>
      <w:szCs w:val="16"/>
    </w:rPr>
  </w:style>
  <w:style w:type="character" w:customStyle="1" w:styleId="DocumentMapChar">
    <w:name w:val="Document Map Char"/>
    <w:basedOn w:val="DefaultParagraphFont"/>
    <w:link w:val="DocumentMap"/>
    <w:rsid w:val="00DD5DC6"/>
    <w:rPr>
      <w:rFonts w:ascii="Tahoma" w:hAnsi="Tahoma" w:cs="Tahoma"/>
      <w:sz w:val="16"/>
      <w:szCs w:val="16"/>
      <w:lang w:val="en-US"/>
    </w:rPr>
  </w:style>
  <w:style w:type="paragraph" w:styleId="E-mailSignature">
    <w:name w:val="E-mail Signature"/>
    <w:basedOn w:val="Normal"/>
    <w:link w:val="E-mailSignatureChar"/>
    <w:rsid w:val="00DD5DC6"/>
  </w:style>
  <w:style w:type="character" w:customStyle="1" w:styleId="E-mailSignatureChar">
    <w:name w:val="E-mail Signature Char"/>
    <w:basedOn w:val="DefaultParagraphFont"/>
    <w:link w:val="E-mailSignature"/>
    <w:rsid w:val="00DD5DC6"/>
    <w:rPr>
      <w:rFonts w:ascii="Garamond" w:hAnsi="Garamond" w:cs="Arial"/>
      <w:sz w:val="22"/>
      <w:lang w:val="en-US"/>
    </w:rPr>
  </w:style>
  <w:style w:type="character" w:styleId="Emphasis">
    <w:name w:val="Emphasis"/>
    <w:basedOn w:val="DefaultParagraphFont"/>
    <w:rsid w:val="00DD5DC6"/>
    <w:rPr>
      <w:i/>
      <w:iCs/>
      <w:lang w:val="en-US"/>
    </w:rPr>
  </w:style>
  <w:style w:type="character" w:styleId="EndnoteReference">
    <w:name w:val="endnote reference"/>
    <w:basedOn w:val="DefaultParagraphFont"/>
    <w:rsid w:val="00DD5DC6"/>
    <w:rPr>
      <w:vertAlign w:val="superscript"/>
      <w:lang w:val="en-US"/>
    </w:rPr>
  </w:style>
  <w:style w:type="paragraph" w:styleId="EndnoteText">
    <w:name w:val="endnote text"/>
    <w:basedOn w:val="Normal"/>
    <w:link w:val="EndnoteTextChar"/>
    <w:rsid w:val="00DD5DC6"/>
    <w:rPr>
      <w:sz w:val="20"/>
    </w:rPr>
  </w:style>
  <w:style w:type="character" w:customStyle="1" w:styleId="EndnoteTextChar">
    <w:name w:val="Endnote Text Char"/>
    <w:basedOn w:val="DefaultParagraphFont"/>
    <w:link w:val="EndnoteText"/>
    <w:rsid w:val="00DD5DC6"/>
    <w:rPr>
      <w:rFonts w:ascii="Garamond" w:hAnsi="Garamond" w:cs="Arial"/>
      <w:lang w:val="en-US"/>
    </w:rPr>
  </w:style>
  <w:style w:type="paragraph" w:styleId="EnvelopeAddress">
    <w:name w:val="envelope address"/>
    <w:basedOn w:val="Normal"/>
    <w:rsid w:val="00DD5DC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5DC6"/>
    <w:rPr>
      <w:rFonts w:asciiTheme="majorHAnsi" w:eastAsiaTheme="majorEastAsia" w:hAnsiTheme="majorHAnsi" w:cstheme="majorBidi"/>
      <w:sz w:val="20"/>
    </w:rPr>
  </w:style>
  <w:style w:type="character" w:styleId="FollowedHyperlink">
    <w:name w:val="FollowedHyperlink"/>
    <w:basedOn w:val="DefaultParagraphFont"/>
    <w:rsid w:val="00DD5DC6"/>
    <w:rPr>
      <w:color w:val="800080" w:themeColor="followedHyperlink"/>
      <w:u w:val="single"/>
      <w:lang w:val="en-US"/>
    </w:rPr>
  </w:style>
  <w:style w:type="character" w:styleId="FootnoteReference">
    <w:name w:val="footnote reference"/>
    <w:basedOn w:val="DefaultParagraphFont"/>
    <w:rsid w:val="00DD5DC6"/>
    <w:rPr>
      <w:vertAlign w:val="superscript"/>
      <w:lang w:val="en-US"/>
    </w:rPr>
  </w:style>
  <w:style w:type="paragraph" w:styleId="FootnoteText">
    <w:name w:val="footnote text"/>
    <w:basedOn w:val="Normal"/>
    <w:link w:val="FootnoteTextChar"/>
    <w:rsid w:val="00DD5DC6"/>
    <w:rPr>
      <w:sz w:val="20"/>
    </w:rPr>
  </w:style>
  <w:style w:type="character" w:customStyle="1" w:styleId="FootnoteTextChar">
    <w:name w:val="Footnote Text Char"/>
    <w:basedOn w:val="DefaultParagraphFont"/>
    <w:link w:val="FootnoteText"/>
    <w:rsid w:val="00DD5DC6"/>
    <w:rPr>
      <w:rFonts w:ascii="Garamond" w:hAnsi="Garamond" w:cs="Arial"/>
      <w:lang w:val="en-US"/>
    </w:rPr>
  </w:style>
  <w:style w:type="character" w:styleId="HTMLAcronym">
    <w:name w:val="HTML Acronym"/>
    <w:basedOn w:val="DefaultParagraphFont"/>
    <w:rsid w:val="00DD5DC6"/>
    <w:rPr>
      <w:lang w:val="en-US"/>
    </w:rPr>
  </w:style>
  <w:style w:type="paragraph" w:styleId="HTMLAddress">
    <w:name w:val="HTML Address"/>
    <w:basedOn w:val="Normal"/>
    <w:link w:val="HTMLAddressChar"/>
    <w:rsid w:val="00DD5DC6"/>
    <w:rPr>
      <w:i/>
      <w:iCs/>
    </w:rPr>
  </w:style>
  <w:style w:type="character" w:customStyle="1" w:styleId="HTMLAddressChar">
    <w:name w:val="HTML Address Char"/>
    <w:basedOn w:val="DefaultParagraphFont"/>
    <w:link w:val="HTMLAddress"/>
    <w:rsid w:val="00DD5DC6"/>
    <w:rPr>
      <w:rFonts w:ascii="Garamond" w:hAnsi="Garamond" w:cs="Arial"/>
      <w:i/>
      <w:iCs/>
      <w:sz w:val="22"/>
      <w:lang w:val="en-US"/>
    </w:rPr>
  </w:style>
  <w:style w:type="character" w:styleId="HTMLCite">
    <w:name w:val="HTML Cite"/>
    <w:basedOn w:val="DefaultParagraphFont"/>
    <w:rsid w:val="00DD5DC6"/>
    <w:rPr>
      <w:i/>
      <w:iCs/>
      <w:lang w:val="en-US"/>
    </w:rPr>
  </w:style>
  <w:style w:type="character" w:styleId="HTMLCode">
    <w:name w:val="HTML Code"/>
    <w:basedOn w:val="DefaultParagraphFont"/>
    <w:rsid w:val="00DD5DC6"/>
    <w:rPr>
      <w:rFonts w:ascii="Consolas" w:hAnsi="Consolas"/>
      <w:sz w:val="20"/>
      <w:szCs w:val="20"/>
      <w:lang w:val="en-US"/>
    </w:rPr>
  </w:style>
  <w:style w:type="character" w:styleId="HTMLDefinition">
    <w:name w:val="HTML Definition"/>
    <w:basedOn w:val="DefaultParagraphFont"/>
    <w:rsid w:val="00DD5DC6"/>
    <w:rPr>
      <w:i/>
      <w:iCs/>
      <w:lang w:val="en-US"/>
    </w:rPr>
  </w:style>
  <w:style w:type="character" w:styleId="HTMLKeyboard">
    <w:name w:val="HTML Keyboard"/>
    <w:basedOn w:val="DefaultParagraphFont"/>
    <w:rsid w:val="00DD5DC6"/>
    <w:rPr>
      <w:rFonts w:ascii="Consolas" w:hAnsi="Consolas"/>
      <w:sz w:val="20"/>
      <w:szCs w:val="20"/>
      <w:lang w:val="en-US"/>
    </w:rPr>
  </w:style>
  <w:style w:type="paragraph" w:styleId="HTMLPreformatted">
    <w:name w:val="HTML Preformatted"/>
    <w:basedOn w:val="Normal"/>
    <w:link w:val="HTMLPreformattedChar"/>
    <w:rsid w:val="00DD5DC6"/>
    <w:rPr>
      <w:rFonts w:ascii="Consolas" w:hAnsi="Consolas"/>
      <w:sz w:val="20"/>
    </w:rPr>
  </w:style>
  <w:style w:type="character" w:customStyle="1" w:styleId="HTMLPreformattedChar">
    <w:name w:val="HTML Preformatted Char"/>
    <w:basedOn w:val="DefaultParagraphFont"/>
    <w:link w:val="HTMLPreformatted"/>
    <w:rsid w:val="00DD5DC6"/>
    <w:rPr>
      <w:rFonts w:ascii="Consolas" w:hAnsi="Consolas" w:cs="Arial"/>
      <w:lang w:val="en-US"/>
    </w:rPr>
  </w:style>
  <w:style w:type="character" w:styleId="HTMLSample">
    <w:name w:val="HTML Sample"/>
    <w:basedOn w:val="DefaultParagraphFont"/>
    <w:rsid w:val="00DD5DC6"/>
    <w:rPr>
      <w:rFonts w:ascii="Consolas" w:hAnsi="Consolas"/>
      <w:sz w:val="24"/>
      <w:szCs w:val="24"/>
      <w:lang w:val="en-US"/>
    </w:rPr>
  </w:style>
  <w:style w:type="character" w:styleId="HTMLTypewriter">
    <w:name w:val="HTML Typewriter"/>
    <w:basedOn w:val="DefaultParagraphFont"/>
    <w:rsid w:val="00DD5DC6"/>
    <w:rPr>
      <w:rFonts w:ascii="Consolas" w:hAnsi="Consolas"/>
      <w:sz w:val="20"/>
      <w:szCs w:val="20"/>
      <w:lang w:val="en-US"/>
    </w:rPr>
  </w:style>
  <w:style w:type="character" w:styleId="HTMLVariable">
    <w:name w:val="HTML Variable"/>
    <w:basedOn w:val="DefaultParagraphFont"/>
    <w:rsid w:val="00DD5DC6"/>
    <w:rPr>
      <w:i/>
      <w:iCs/>
      <w:lang w:val="en-US"/>
    </w:rPr>
  </w:style>
  <w:style w:type="character" w:styleId="Hyperlink">
    <w:name w:val="Hyperlink"/>
    <w:basedOn w:val="DefaultParagraphFont"/>
    <w:uiPriority w:val="99"/>
    <w:rsid w:val="00DD5DC6"/>
    <w:rPr>
      <w:color w:val="0000FF" w:themeColor="hyperlink"/>
      <w:u w:val="single"/>
      <w:lang w:val="en-US"/>
    </w:rPr>
  </w:style>
  <w:style w:type="paragraph" w:styleId="Index1">
    <w:name w:val="index 1"/>
    <w:basedOn w:val="Normal"/>
    <w:next w:val="Normal"/>
    <w:autoRedefine/>
    <w:rsid w:val="00DD5DC6"/>
    <w:pPr>
      <w:ind w:left="220" w:hanging="220"/>
    </w:pPr>
  </w:style>
  <w:style w:type="paragraph" w:styleId="Index2">
    <w:name w:val="index 2"/>
    <w:basedOn w:val="Normal"/>
    <w:next w:val="Normal"/>
    <w:autoRedefine/>
    <w:rsid w:val="00DD5DC6"/>
    <w:pPr>
      <w:ind w:left="440" w:hanging="220"/>
    </w:pPr>
  </w:style>
  <w:style w:type="paragraph" w:styleId="Index3">
    <w:name w:val="index 3"/>
    <w:basedOn w:val="Normal"/>
    <w:next w:val="Normal"/>
    <w:autoRedefine/>
    <w:rsid w:val="00DD5DC6"/>
    <w:pPr>
      <w:ind w:left="660" w:hanging="220"/>
    </w:pPr>
  </w:style>
  <w:style w:type="paragraph" w:styleId="Index4">
    <w:name w:val="index 4"/>
    <w:basedOn w:val="Normal"/>
    <w:next w:val="Normal"/>
    <w:autoRedefine/>
    <w:rsid w:val="00DD5DC6"/>
    <w:pPr>
      <w:ind w:left="880" w:hanging="220"/>
    </w:pPr>
  </w:style>
  <w:style w:type="paragraph" w:styleId="Index5">
    <w:name w:val="index 5"/>
    <w:basedOn w:val="Normal"/>
    <w:next w:val="Normal"/>
    <w:autoRedefine/>
    <w:rsid w:val="00DD5DC6"/>
    <w:pPr>
      <w:ind w:left="1100" w:hanging="220"/>
    </w:pPr>
  </w:style>
  <w:style w:type="paragraph" w:styleId="Index6">
    <w:name w:val="index 6"/>
    <w:basedOn w:val="Normal"/>
    <w:next w:val="Normal"/>
    <w:autoRedefine/>
    <w:rsid w:val="00DD5DC6"/>
    <w:pPr>
      <w:ind w:left="1320" w:hanging="220"/>
    </w:pPr>
  </w:style>
  <w:style w:type="paragraph" w:styleId="Index7">
    <w:name w:val="index 7"/>
    <w:basedOn w:val="Normal"/>
    <w:next w:val="Normal"/>
    <w:autoRedefine/>
    <w:rsid w:val="00DD5DC6"/>
    <w:pPr>
      <w:ind w:left="1540" w:hanging="220"/>
    </w:pPr>
  </w:style>
  <w:style w:type="paragraph" w:styleId="Index8">
    <w:name w:val="index 8"/>
    <w:basedOn w:val="Normal"/>
    <w:next w:val="Normal"/>
    <w:autoRedefine/>
    <w:rsid w:val="00DD5DC6"/>
    <w:pPr>
      <w:ind w:left="1760" w:hanging="220"/>
    </w:pPr>
  </w:style>
  <w:style w:type="paragraph" w:styleId="Index9">
    <w:name w:val="index 9"/>
    <w:basedOn w:val="Normal"/>
    <w:next w:val="Normal"/>
    <w:autoRedefine/>
    <w:rsid w:val="00DD5DC6"/>
    <w:pPr>
      <w:ind w:left="1980" w:hanging="220"/>
    </w:pPr>
  </w:style>
  <w:style w:type="paragraph" w:styleId="IndexHeading">
    <w:name w:val="index heading"/>
    <w:basedOn w:val="Normal"/>
    <w:next w:val="Index1"/>
    <w:rsid w:val="00DD5DC6"/>
    <w:rPr>
      <w:rFonts w:asciiTheme="majorHAnsi" w:eastAsiaTheme="majorEastAsia" w:hAnsiTheme="majorHAnsi" w:cstheme="majorBidi"/>
      <w:b/>
      <w:bCs/>
    </w:rPr>
  </w:style>
  <w:style w:type="character" w:styleId="IntenseEmphasis">
    <w:name w:val="Intense Emphasis"/>
    <w:basedOn w:val="DefaultParagraphFont"/>
    <w:uiPriority w:val="21"/>
    <w:rsid w:val="00DD5DC6"/>
    <w:rPr>
      <w:b/>
      <w:bCs/>
      <w:i/>
      <w:iCs/>
      <w:color w:val="4F2D7F" w:themeColor="accent1"/>
      <w:lang w:val="en-US"/>
    </w:rPr>
  </w:style>
  <w:style w:type="character" w:styleId="IntenseReference">
    <w:name w:val="Intense Reference"/>
    <w:basedOn w:val="DefaultParagraphFont"/>
    <w:uiPriority w:val="32"/>
    <w:rsid w:val="00DD5DC6"/>
    <w:rPr>
      <w:b/>
      <w:bCs/>
      <w:smallCaps/>
      <w:color w:val="C30045" w:themeColor="accent2"/>
      <w:spacing w:val="5"/>
      <w:u w:val="single"/>
      <w:lang w:val="en-US"/>
    </w:rPr>
  </w:style>
  <w:style w:type="table" w:styleId="LightGrid">
    <w:name w:val="Light Grid"/>
    <w:basedOn w:val="TableNormal"/>
    <w:uiPriority w:val="62"/>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18" w:space="0" w:color="C30045" w:themeColor="accent2"/>
          <w:right w:val="single" w:sz="8" w:space="0" w:color="C30045" w:themeColor="accent2"/>
          <w:insideH w:val="nil"/>
          <w:insideV w:val="single" w:sz="8" w:space="0" w:color="C300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insideH w:val="nil"/>
          <w:insideV w:val="single" w:sz="8" w:space="0" w:color="C300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shd w:val="clear" w:color="auto" w:fill="FFB1CC" w:themeFill="accent2" w:themeFillTint="3F"/>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shd w:val="clear" w:color="auto" w:fill="FFB1CC" w:themeFill="accent2" w:themeFillTint="3F"/>
      </w:tcPr>
    </w:tblStylePr>
    <w:tblStylePr w:type="band2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tcPr>
    </w:tblStylePr>
  </w:style>
  <w:style w:type="table" w:styleId="LightGrid-Accent3">
    <w:name w:val="Light Grid Accent 3"/>
    <w:basedOn w:val="TableNormal"/>
    <w:uiPriority w:val="62"/>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18" w:space="0" w:color="B1059D" w:themeColor="accent3"/>
          <w:right w:val="single" w:sz="8" w:space="0" w:color="B1059D" w:themeColor="accent3"/>
          <w:insideH w:val="nil"/>
          <w:insideV w:val="single" w:sz="8" w:space="0" w:color="B1059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insideH w:val="nil"/>
          <w:insideV w:val="single" w:sz="8" w:space="0" w:color="B1059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shd w:val="clear" w:color="auto" w:fill="FCAFF3" w:themeFill="accent3" w:themeFillTint="3F"/>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shd w:val="clear" w:color="auto" w:fill="FCAFF3" w:themeFill="accent3" w:themeFillTint="3F"/>
      </w:tcPr>
    </w:tblStylePr>
    <w:tblStylePr w:type="band2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tcPr>
    </w:tblStylePr>
  </w:style>
  <w:style w:type="table" w:styleId="LightGrid-Accent4">
    <w:name w:val="Light Grid Accent 4"/>
    <w:basedOn w:val="TableNormal"/>
    <w:uiPriority w:val="62"/>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18" w:space="0" w:color="006D55" w:themeColor="accent4"/>
          <w:right w:val="single" w:sz="8" w:space="0" w:color="006D55" w:themeColor="accent4"/>
          <w:insideH w:val="nil"/>
          <w:insideV w:val="single" w:sz="8" w:space="0" w:color="006D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insideH w:val="nil"/>
          <w:insideV w:val="single" w:sz="8" w:space="0" w:color="006D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shd w:val="clear" w:color="auto" w:fill="9BFFE8" w:themeFill="accent4" w:themeFillTint="3F"/>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shd w:val="clear" w:color="auto" w:fill="9BFFE8" w:themeFill="accent4" w:themeFillTint="3F"/>
      </w:tcPr>
    </w:tblStylePr>
    <w:tblStylePr w:type="band2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tcPr>
    </w:tblStylePr>
  </w:style>
  <w:style w:type="table" w:styleId="LightGrid-Accent5">
    <w:name w:val="Light Grid Accent 5"/>
    <w:basedOn w:val="TableNormal"/>
    <w:uiPriority w:val="62"/>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18" w:space="0" w:color="7AB800" w:themeColor="accent5"/>
          <w:right w:val="single" w:sz="8" w:space="0" w:color="7AB800" w:themeColor="accent5"/>
          <w:insideH w:val="nil"/>
          <w:insideV w:val="single" w:sz="8" w:space="0" w:color="7AB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insideH w:val="nil"/>
          <w:insideV w:val="single" w:sz="8" w:space="0" w:color="7AB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shd w:val="clear" w:color="auto" w:fill="E3FFAE" w:themeFill="accent5" w:themeFillTint="3F"/>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shd w:val="clear" w:color="auto" w:fill="E3FFAE" w:themeFill="accent5" w:themeFillTint="3F"/>
      </w:tcPr>
    </w:tblStylePr>
    <w:tblStylePr w:type="band2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tcPr>
    </w:tblStylePr>
  </w:style>
  <w:style w:type="table" w:styleId="LightGrid-Accent6">
    <w:name w:val="Light Grid Accent 6"/>
    <w:basedOn w:val="TableNormal"/>
    <w:uiPriority w:val="62"/>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18" w:space="0" w:color="FF7900" w:themeColor="accent6"/>
          <w:right w:val="single" w:sz="8" w:space="0" w:color="FF7900" w:themeColor="accent6"/>
          <w:insideH w:val="nil"/>
          <w:insideV w:val="single" w:sz="8" w:space="0" w:color="FF79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insideH w:val="nil"/>
          <w:insideV w:val="single" w:sz="8" w:space="0" w:color="FF79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shd w:val="clear" w:color="auto" w:fill="FFDDC0" w:themeFill="accent6" w:themeFillTint="3F"/>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shd w:val="clear" w:color="auto" w:fill="FFDDC0" w:themeFill="accent6" w:themeFillTint="3F"/>
      </w:tcPr>
    </w:tblStylePr>
    <w:tblStylePr w:type="band2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tcPr>
    </w:tblStylePr>
  </w:style>
  <w:style w:type="table" w:styleId="LightList">
    <w:name w:val="Light List"/>
    <w:basedOn w:val="TableNormal"/>
    <w:uiPriority w:val="61"/>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pPr>
        <w:spacing w:before="0" w:after="0" w:line="240" w:lineRule="auto"/>
      </w:pPr>
      <w:rPr>
        <w:b/>
        <w:bCs/>
        <w:color w:val="FFFFFF" w:themeColor="background1"/>
      </w:rPr>
      <w:tblPr/>
      <w:tcPr>
        <w:shd w:val="clear" w:color="auto" w:fill="C30045" w:themeFill="accent2"/>
      </w:tcPr>
    </w:tblStylePr>
    <w:tblStylePr w:type="lastRow">
      <w:pPr>
        <w:spacing w:before="0" w:after="0" w:line="240" w:lineRule="auto"/>
      </w:pPr>
      <w:rPr>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tcBorders>
      </w:tcPr>
    </w:tblStylePr>
    <w:tblStylePr w:type="firstCol">
      <w:rPr>
        <w:b/>
        <w:bCs/>
      </w:rPr>
    </w:tblStylePr>
    <w:tblStylePr w:type="lastCol">
      <w:rPr>
        <w:b/>
        <w:bCs/>
      </w:r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style>
  <w:style w:type="table" w:styleId="LightList-Accent3">
    <w:name w:val="Light List Accent 3"/>
    <w:basedOn w:val="TableNormal"/>
    <w:uiPriority w:val="61"/>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pPr>
        <w:spacing w:before="0" w:after="0" w:line="240" w:lineRule="auto"/>
      </w:pPr>
      <w:rPr>
        <w:b/>
        <w:bCs/>
        <w:color w:val="FFFFFF" w:themeColor="background1"/>
      </w:rPr>
      <w:tblPr/>
      <w:tcPr>
        <w:shd w:val="clear" w:color="auto" w:fill="B1059D" w:themeFill="accent3"/>
      </w:tcPr>
    </w:tblStylePr>
    <w:tblStylePr w:type="lastRow">
      <w:pPr>
        <w:spacing w:before="0" w:after="0" w:line="240" w:lineRule="auto"/>
      </w:pPr>
      <w:rPr>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tcBorders>
      </w:tcPr>
    </w:tblStylePr>
    <w:tblStylePr w:type="firstCol">
      <w:rPr>
        <w:b/>
        <w:bCs/>
      </w:rPr>
    </w:tblStylePr>
    <w:tblStylePr w:type="lastCol">
      <w:rPr>
        <w:b/>
        <w:bCs/>
      </w:r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style>
  <w:style w:type="table" w:styleId="LightList-Accent4">
    <w:name w:val="Light List Accent 4"/>
    <w:basedOn w:val="TableNormal"/>
    <w:uiPriority w:val="61"/>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pPr>
        <w:spacing w:before="0" w:after="0" w:line="240" w:lineRule="auto"/>
      </w:pPr>
      <w:rPr>
        <w:b/>
        <w:bCs/>
        <w:color w:val="FFFFFF" w:themeColor="background1"/>
      </w:rPr>
      <w:tblPr/>
      <w:tcPr>
        <w:shd w:val="clear" w:color="auto" w:fill="006D55" w:themeFill="accent4"/>
      </w:tcPr>
    </w:tblStylePr>
    <w:tblStylePr w:type="lastRow">
      <w:pPr>
        <w:spacing w:before="0" w:after="0" w:line="240" w:lineRule="auto"/>
      </w:pPr>
      <w:rPr>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tcBorders>
      </w:tcPr>
    </w:tblStylePr>
    <w:tblStylePr w:type="firstCol">
      <w:rPr>
        <w:b/>
        <w:bCs/>
      </w:rPr>
    </w:tblStylePr>
    <w:tblStylePr w:type="lastCol">
      <w:rPr>
        <w:b/>
        <w:bCs/>
      </w:r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style>
  <w:style w:type="table" w:styleId="LightList-Accent5">
    <w:name w:val="Light List Accent 5"/>
    <w:basedOn w:val="TableNormal"/>
    <w:uiPriority w:val="61"/>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pPr>
        <w:spacing w:before="0" w:after="0" w:line="240" w:lineRule="auto"/>
      </w:pPr>
      <w:rPr>
        <w:b/>
        <w:bCs/>
        <w:color w:val="FFFFFF" w:themeColor="background1"/>
      </w:rPr>
      <w:tblPr/>
      <w:tcPr>
        <w:shd w:val="clear" w:color="auto" w:fill="7AB800" w:themeFill="accent5"/>
      </w:tcPr>
    </w:tblStylePr>
    <w:tblStylePr w:type="lastRow">
      <w:pPr>
        <w:spacing w:before="0" w:after="0" w:line="240" w:lineRule="auto"/>
      </w:pPr>
      <w:rPr>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tcBorders>
      </w:tcPr>
    </w:tblStylePr>
    <w:tblStylePr w:type="firstCol">
      <w:rPr>
        <w:b/>
        <w:bCs/>
      </w:rPr>
    </w:tblStylePr>
    <w:tblStylePr w:type="lastCol">
      <w:rPr>
        <w:b/>
        <w:bCs/>
      </w:r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style>
  <w:style w:type="table" w:styleId="LightList-Accent6">
    <w:name w:val="Light List Accent 6"/>
    <w:basedOn w:val="TableNormal"/>
    <w:uiPriority w:val="61"/>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pPr>
        <w:spacing w:before="0" w:after="0" w:line="240" w:lineRule="auto"/>
      </w:pPr>
      <w:rPr>
        <w:b/>
        <w:bCs/>
        <w:color w:val="FFFFFF" w:themeColor="background1"/>
      </w:rPr>
      <w:tblPr/>
      <w:tcPr>
        <w:shd w:val="clear" w:color="auto" w:fill="FF7900" w:themeFill="accent6"/>
      </w:tcPr>
    </w:tblStylePr>
    <w:tblStylePr w:type="lastRow">
      <w:pPr>
        <w:spacing w:before="0" w:after="0" w:line="240" w:lineRule="auto"/>
      </w:pPr>
      <w:rPr>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tcBorders>
      </w:tcPr>
    </w:tblStylePr>
    <w:tblStylePr w:type="firstCol">
      <w:rPr>
        <w:b/>
        <w:bCs/>
      </w:rPr>
    </w:tblStylePr>
    <w:tblStylePr w:type="lastCol">
      <w:rPr>
        <w:b/>
        <w:bCs/>
      </w:r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style>
  <w:style w:type="table" w:styleId="LightShading">
    <w:name w:val="Light Shading"/>
    <w:basedOn w:val="TableNormal"/>
    <w:uiPriority w:val="60"/>
    <w:rsid w:val="00DD5D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5DC6"/>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rsid w:val="00DD5DC6"/>
    <w:rPr>
      <w:color w:val="920033" w:themeColor="accent2" w:themeShade="BF"/>
    </w:rPr>
    <w:tblPr>
      <w:tblStyleRowBandSize w:val="1"/>
      <w:tblStyleColBandSize w:val="1"/>
      <w:tblBorders>
        <w:top w:val="single" w:sz="8" w:space="0" w:color="C30045" w:themeColor="accent2"/>
        <w:bottom w:val="single" w:sz="8" w:space="0" w:color="C30045" w:themeColor="accent2"/>
      </w:tblBorders>
    </w:tblPr>
    <w:tblStylePr w:type="fir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la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left w:val="nil"/>
          <w:right w:val="nil"/>
          <w:insideH w:val="nil"/>
          <w:insideV w:val="nil"/>
        </w:tcBorders>
        <w:shd w:val="clear" w:color="auto" w:fill="FFB1CC" w:themeFill="accent2" w:themeFillTint="3F"/>
      </w:tcPr>
    </w:tblStylePr>
  </w:style>
  <w:style w:type="table" w:styleId="LightShading-Accent3">
    <w:name w:val="Light Shading Accent 3"/>
    <w:basedOn w:val="TableNormal"/>
    <w:uiPriority w:val="60"/>
    <w:rsid w:val="00DD5DC6"/>
    <w:rPr>
      <w:color w:val="840375" w:themeColor="accent3" w:themeShade="BF"/>
    </w:rPr>
    <w:tblPr>
      <w:tblStyleRowBandSize w:val="1"/>
      <w:tblStyleColBandSize w:val="1"/>
      <w:tblBorders>
        <w:top w:val="single" w:sz="8" w:space="0" w:color="B1059D" w:themeColor="accent3"/>
        <w:bottom w:val="single" w:sz="8" w:space="0" w:color="B1059D" w:themeColor="accent3"/>
      </w:tblBorders>
    </w:tblPr>
    <w:tblStylePr w:type="fir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la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left w:val="nil"/>
          <w:right w:val="nil"/>
          <w:insideH w:val="nil"/>
          <w:insideV w:val="nil"/>
        </w:tcBorders>
        <w:shd w:val="clear" w:color="auto" w:fill="FCAFF3" w:themeFill="accent3" w:themeFillTint="3F"/>
      </w:tcPr>
    </w:tblStylePr>
  </w:style>
  <w:style w:type="table" w:styleId="LightShading-Accent4">
    <w:name w:val="Light Shading Accent 4"/>
    <w:basedOn w:val="TableNormal"/>
    <w:uiPriority w:val="60"/>
    <w:rsid w:val="00DD5DC6"/>
    <w:rPr>
      <w:color w:val="00513F" w:themeColor="accent4" w:themeShade="BF"/>
    </w:rPr>
    <w:tblPr>
      <w:tblStyleRowBandSize w:val="1"/>
      <w:tblStyleColBandSize w:val="1"/>
      <w:tblBorders>
        <w:top w:val="single" w:sz="8" w:space="0" w:color="006D55" w:themeColor="accent4"/>
        <w:bottom w:val="single" w:sz="8" w:space="0" w:color="006D55" w:themeColor="accent4"/>
      </w:tblBorders>
    </w:tblPr>
    <w:tblStylePr w:type="fir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la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left w:val="nil"/>
          <w:right w:val="nil"/>
          <w:insideH w:val="nil"/>
          <w:insideV w:val="nil"/>
        </w:tcBorders>
        <w:shd w:val="clear" w:color="auto" w:fill="9BFFE8" w:themeFill="accent4" w:themeFillTint="3F"/>
      </w:tcPr>
    </w:tblStylePr>
  </w:style>
  <w:style w:type="table" w:styleId="LightShading-Accent5">
    <w:name w:val="Light Shading Accent 5"/>
    <w:basedOn w:val="TableNormal"/>
    <w:uiPriority w:val="60"/>
    <w:rsid w:val="00DD5DC6"/>
    <w:rPr>
      <w:color w:val="5B8900" w:themeColor="accent5" w:themeShade="BF"/>
    </w:rPr>
    <w:tblPr>
      <w:tblStyleRowBandSize w:val="1"/>
      <w:tblStyleColBandSize w:val="1"/>
      <w:tblBorders>
        <w:top w:val="single" w:sz="8" w:space="0" w:color="7AB800" w:themeColor="accent5"/>
        <w:bottom w:val="single" w:sz="8" w:space="0" w:color="7AB800" w:themeColor="accent5"/>
      </w:tblBorders>
    </w:tblPr>
    <w:tblStylePr w:type="fir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la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left w:val="nil"/>
          <w:right w:val="nil"/>
          <w:insideH w:val="nil"/>
          <w:insideV w:val="nil"/>
        </w:tcBorders>
        <w:shd w:val="clear" w:color="auto" w:fill="E3FFAE" w:themeFill="accent5" w:themeFillTint="3F"/>
      </w:tcPr>
    </w:tblStylePr>
  </w:style>
  <w:style w:type="table" w:styleId="LightShading-Accent6">
    <w:name w:val="Light Shading Accent 6"/>
    <w:basedOn w:val="TableNormal"/>
    <w:uiPriority w:val="60"/>
    <w:rsid w:val="00DD5DC6"/>
    <w:rPr>
      <w:color w:val="BF5A00" w:themeColor="accent6" w:themeShade="BF"/>
    </w:rPr>
    <w:tblPr>
      <w:tblStyleRowBandSize w:val="1"/>
      <w:tblStyleColBandSize w:val="1"/>
      <w:tblBorders>
        <w:top w:val="single" w:sz="8" w:space="0" w:color="FF7900" w:themeColor="accent6"/>
        <w:bottom w:val="single" w:sz="8" w:space="0" w:color="FF7900" w:themeColor="accent6"/>
      </w:tblBorders>
    </w:tblPr>
    <w:tblStylePr w:type="fir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la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left w:val="nil"/>
          <w:right w:val="nil"/>
          <w:insideH w:val="nil"/>
          <w:insideV w:val="nil"/>
        </w:tcBorders>
        <w:shd w:val="clear" w:color="auto" w:fill="FFDDC0" w:themeFill="accent6" w:themeFillTint="3F"/>
      </w:tcPr>
    </w:tblStylePr>
  </w:style>
  <w:style w:type="character" w:styleId="LineNumber">
    <w:name w:val="line number"/>
    <w:basedOn w:val="DefaultParagraphFont"/>
    <w:rsid w:val="00DD5DC6"/>
    <w:rPr>
      <w:lang w:val="en-US"/>
    </w:rPr>
  </w:style>
  <w:style w:type="paragraph" w:styleId="List">
    <w:name w:val="List"/>
    <w:basedOn w:val="Normal"/>
    <w:rsid w:val="00DD5DC6"/>
    <w:pPr>
      <w:ind w:left="360" w:hanging="360"/>
      <w:contextualSpacing/>
    </w:pPr>
  </w:style>
  <w:style w:type="paragraph" w:styleId="List2">
    <w:name w:val="List 2"/>
    <w:basedOn w:val="Normal"/>
    <w:rsid w:val="00DD5DC6"/>
    <w:pPr>
      <w:ind w:left="720" w:hanging="360"/>
      <w:contextualSpacing/>
    </w:pPr>
  </w:style>
  <w:style w:type="paragraph" w:styleId="List3">
    <w:name w:val="List 3"/>
    <w:basedOn w:val="Normal"/>
    <w:rsid w:val="00DD5DC6"/>
    <w:pPr>
      <w:ind w:left="1080" w:hanging="360"/>
      <w:contextualSpacing/>
    </w:pPr>
  </w:style>
  <w:style w:type="paragraph" w:styleId="List4">
    <w:name w:val="List 4"/>
    <w:basedOn w:val="Normal"/>
    <w:rsid w:val="00DD5DC6"/>
    <w:pPr>
      <w:ind w:left="1440" w:hanging="360"/>
      <w:contextualSpacing/>
    </w:pPr>
  </w:style>
  <w:style w:type="paragraph" w:styleId="List5">
    <w:name w:val="List 5"/>
    <w:basedOn w:val="Normal"/>
    <w:rsid w:val="00DD5DC6"/>
    <w:pPr>
      <w:ind w:left="1800" w:hanging="360"/>
      <w:contextualSpacing/>
    </w:pPr>
  </w:style>
  <w:style w:type="paragraph" w:styleId="ListBullet3">
    <w:name w:val="List Bullet 3"/>
    <w:basedOn w:val="Normal"/>
    <w:rsid w:val="00DD5DC6"/>
    <w:pPr>
      <w:numPr>
        <w:numId w:val="1"/>
      </w:numPr>
      <w:contextualSpacing/>
    </w:pPr>
  </w:style>
  <w:style w:type="paragraph" w:styleId="ListBullet4">
    <w:name w:val="List Bullet 4"/>
    <w:basedOn w:val="Normal"/>
    <w:rsid w:val="00DD5DC6"/>
    <w:pPr>
      <w:numPr>
        <w:numId w:val="4"/>
      </w:numPr>
      <w:contextualSpacing/>
    </w:pPr>
  </w:style>
  <w:style w:type="paragraph" w:styleId="ListBullet5">
    <w:name w:val="List Bullet 5"/>
    <w:basedOn w:val="Normal"/>
    <w:rsid w:val="00DD5DC6"/>
    <w:pPr>
      <w:numPr>
        <w:numId w:val="5"/>
      </w:numPr>
      <w:contextualSpacing/>
    </w:pPr>
  </w:style>
  <w:style w:type="paragraph" w:styleId="ListContinue">
    <w:name w:val="List Continue"/>
    <w:basedOn w:val="Normal"/>
    <w:rsid w:val="00DD5DC6"/>
    <w:pPr>
      <w:spacing w:after="120"/>
      <w:ind w:left="360"/>
      <w:contextualSpacing/>
    </w:pPr>
  </w:style>
  <w:style w:type="paragraph" w:styleId="ListContinue2">
    <w:name w:val="List Continue 2"/>
    <w:basedOn w:val="Normal"/>
    <w:rsid w:val="00DD5DC6"/>
    <w:pPr>
      <w:spacing w:after="120"/>
      <w:ind w:left="720"/>
      <w:contextualSpacing/>
    </w:pPr>
  </w:style>
  <w:style w:type="paragraph" w:styleId="ListContinue3">
    <w:name w:val="List Continue 3"/>
    <w:basedOn w:val="Normal"/>
    <w:rsid w:val="00DD5DC6"/>
    <w:pPr>
      <w:spacing w:after="120"/>
      <w:ind w:left="1080"/>
      <w:contextualSpacing/>
    </w:pPr>
  </w:style>
  <w:style w:type="paragraph" w:styleId="ListContinue4">
    <w:name w:val="List Continue 4"/>
    <w:basedOn w:val="Normal"/>
    <w:rsid w:val="00DD5DC6"/>
    <w:pPr>
      <w:spacing w:after="120"/>
      <w:ind w:left="1440"/>
      <w:contextualSpacing/>
    </w:pPr>
  </w:style>
  <w:style w:type="paragraph" w:styleId="ListContinue5">
    <w:name w:val="List Continue 5"/>
    <w:basedOn w:val="Normal"/>
    <w:rsid w:val="00DD5DC6"/>
    <w:pPr>
      <w:spacing w:after="120"/>
      <w:ind w:left="1800"/>
      <w:contextualSpacing/>
    </w:pPr>
  </w:style>
  <w:style w:type="paragraph" w:styleId="ListNumber4">
    <w:name w:val="List Number 4"/>
    <w:basedOn w:val="Normal"/>
    <w:rsid w:val="00DD5DC6"/>
    <w:pPr>
      <w:numPr>
        <w:numId w:val="6"/>
      </w:numPr>
      <w:contextualSpacing/>
    </w:pPr>
  </w:style>
  <w:style w:type="paragraph" w:styleId="ListNumber5">
    <w:name w:val="List Number 5"/>
    <w:basedOn w:val="Normal"/>
    <w:rsid w:val="00DD5DC6"/>
    <w:pPr>
      <w:numPr>
        <w:numId w:val="7"/>
      </w:numPr>
      <w:contextualSpacing/>
    </w:pPr>
  </w:style>
  <w:style w:type="paragraph" w:styleId="ListParagraph">
    <w:name w:val="List Paragraph"/>
    <w:basedOn w:val="Normal"/>
    <w:uiPriority w:val="34"/>
    <w:qFormat/>
    <w:rsid w:val="00DD5DC6"/>
    <w:pPr>
      <w:ind w:left="720"/>
      <w:contextualSpacing/>
    </w:pPr>
  </w:style>
  <w:style w:type="table" w:styleId="MediumGrid1">
    <w:name w:val="Medium Grid 1"/>
    <w:basedOn w:val="TableNormal"/>
    <w:uiPriority w:val="67"/>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insideV w:val="single" w:sz="8" w:space="0" w:color="FF1366" w:themeColor="accent2" w:themeTint="BF"/>
      </w:tblBorders>
    </w:tblPr>
    <w:tcPr>
      <w:shd w:val="clear" w:color="auto" w:fill="FFB1CC" w:themeFill="accent2" w:themeFillTint="3F"/>
    </w:tcPr>
    <w:tblStylePr w:type="firstRow">
      <w:rPr>
        <w:b/>
        <w:bCs/>
      </w:rPr>
    </w:tblStylePr>
    <w:tblStylePr w:type="lastRow">
      <w:rPr>
        <w:b/>
        <w:bCs/>
      </w:rPr>
      <w:tblPr/>
      <w:tcPr>
        <w:tcBorders>
          <w:top w:val="single" w:sz="18" w:space="0" w:color="FF1366" w:themeColor="accent2" w:themeTint="BF"/>
        </w:tcBorders>
      </w:tcPr>
    </w:tblStylePr>
    <w:tblStylePr w:type="firstCol">
      <w:rPr>
        <w:b/>
        <w:bCs/>
      </w:rPr>
    </w:tblStylePr>
    <w:tblStylePr w:type="lastCol">
      <w:rPr>
        <w:b/>
        <w:bCs/>
      </w:r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MediumGrid1-Accent3">
    <w:name w:val="Medium Grid 1 Accent 3"/>
    <w:basedOn w:val="TableNormal"/>
    <w:uiPriority w:val="67"/>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insideV w:val="single" w:sz="8" w:space="0" w:color="F80FDC" w:themeColor="accent3" w:themeTint="BF"/>
      </w:tblBorders>
    </w:tblPr>
    <w:tcPr>
      <w:shd w:val="clear" w:color="auto" w:fill="FCAFF3" w:themeFill="accent3" w:themeFillTint="3F"/>
    </w:tcPr>
    <w:tblStylePr w:type="firstRow">
      <w:rPr>
        <w:b/>
        <w:bCs/>
      </w:rPr>
    </w:tblStylePr>
    <w:tblStylePr w:type="lastRow">
      <w:rPr>
        <w:b/>
        <w:bCs/>
      </w:rPr>
      <w:tblPr/>
      <w:tcPr>
        <w:tcBorders>
          <w:top w:val="single" w:sz="18" w:space="0" w:color="F80FDC" w:themeColor="accent3" w:themeTint="BF"/>
        </w:tcBorders>
      </w:tcPr>
    </w:tblStylePr>
    <w:tblStylePr w:type="firstCol">
      <w:rPr>
        <w:b/>
        <w:bCs/>
      </w:rPr>
    </w:tblStylePr>
    <w:tblStylePr w:type="lastCol">
      <w:rPr>
        <w:b/>
        <w:bCs/>
      </w:r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MediumGrid1-Accent4">
    <w:name w:val="Medium Grid 1 Accent 4"/>
    <w:basedOn w:val="TableNormal"/>
    <w:uiPriority w:val="67"/>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insideV w:val="single" w:sz="8" w:space="0" w:color="00D1A2" w:themeColor="accent4" w:themeTint="BF"/>
      </w:tblBorders>
    </w:tblPr>
    <w:tcPr>
      <w:shd w:val="clear" w:color="auto" w:fill="9BFFE8" w:themeFill="accent4" w:themeFillTint="3F"/>
    </w:tcPr>
    <w:tblStylePr w:type="firstRow">
      <w:rPr>
        <w:b/>
        <w:bCs/>
      </w:rPr>
    </w:tblStylePr>
    <w:tblStylePr w:type="lastRow">
      <w:rPr>
        <w:b/>
        <w:bCs/>
      </w:rPr>
      <w:tblPr/>
      <w:tcPr>
        <w:tcBorders>
          <w:top w:val="single" w:sz="18" w:space="0" w:color="00D1A2" w:themeColor="accent4" w:themeTint="BF"/>
        </w:tcBorders>
      </w:tcPr>
    </w:tblStylePr>
    <w:tblStylePr w:type="firstCol">
      <w:rPr>
        <w:b/>
        <w:bCs/>
      </w:rPr>
    </w:tblStylePr>
    <w:tblStylePr w:type="lastCol">
      <w:rPr>
        <w:b/>
        <w:bCs/>
      </w:r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MediumGrid1-Accent5">
    <w:name w:val="Medium Grid 1 Accent 5"/>
    <w:basedOn w:val="TableNormal"/>
    <w:uiPriority w:val="67"/>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insideV w:val="single" w:sz="8" w:space="0" w:color="ACFF0A" w:themeColor="accent5" w:themeTint="BF"/>
      </w:tblBorders>
    </w:tblPr>
    <w:tcPr>
      <w:shd w:val="clear" w:color="auto" w:fill="E3FFAE" w:themeFill="accent5" w:themeFillTint="3F"/>
    </w:tcPr>
    <w:tblStylePr w:type="firstRow">
      <w:rPr>
        <w:b/>
        <w:bCs/>
      </w:rPr>
    </w:tblStylePr>
    <w:tblStylePr w:type="lastRow">
      <w:rPr>
        <w:b/>
        <w:bCs/>
      </w:rPr>
      <w:tblPr/>
      <w:tcPr>
        <w:tcBorders>
          <w:top w:val="single" w:sz="18" w:space="0" w:color="ACFF0A" w:themeColor="accent5" w:themeTint="BF"/>
        </w:tcBorders>
      </w:tcPr>
    </w:tblStylePr>
    <w:tblStylePr w:type="firstCol">
      <w:rPr>
        <w:b/>
        <w:bCs/>
      </w:rPr>
    </w:tblStylePr>
    <w:tblStylePr w:type="lastCol">
      <w:rPr>
        <w:b/>
        <w:bCs/>
      </w:r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MediumGrid1-Accent6">
    <w:name w:val="Medium Grid 1 Accent 6"/>
    <w:basedOn w:val="TableNormal"/>
    <w:uiPriority w:val="67"/>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insideV w:val="single" w:sz="8" w:space="0" w:color="FF9A40" w:themeColor="accent6" w:themeTint="BF"/>
      </w:tblBorders>
    </w:tblPr>
    <w:tcPr>
      <w:shd w:val="clear" w:color="auto" w:fill="FFDDC0" w:themeFill="accent6" w:themeFillTint="3F"/>
    </w:tcPr>
    <w:tblStylePr w:type="firstRow">
      <w:rPr>
        <w:b/>
        <w:bCs/>
      </w:rPr>
    </w:tblStylePr>
    <w:tblStylePr w:type="lastRow">
      <w:rPr>
        <w:b/>
        <w:bCs/>
      </w:rPr>
      <w:tblPr/>
      <w:tcPr>
        <w:tcBorders>
          <w:top w:val="single" w:sz="18" w:space="0" w:color="FF9A40" w:themeColor="accent6" w:themeTint="BF"/>
        </w:tcBorders>
      </w:tcPr>
    </w:tblStylePr>
    <w:tblStylePr w:type="firstCol">
      <w:rPr>
        <w:b/>
        <w:bCs/>
      </w:rPr>
    </w:tblStylePr>
    <w:tblStylePr w:type="lastCol">
      <w:rPr>
        <w:b/>
        <w:bCs/>
      </w:r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MediumGrid2">
    <w:name w:val="Medium Grid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cPr>
      <w:shd w:val="clear" w:color="auto" w:fill="FFB1CC" w:themeFill="accent2" w:themeFillTint="3F"/>
    </w:tcPr>
    <w:tblStylePr w:type="firstRow">
      <w:rPr>
        <w:b/>
        <w:bCs/>
        <w:color w:val="000000" w:themeColor="text1"/>
      </w:rPr>
      <w:tblPr/>
      <w:tcPr>
        <w:shd w:val="clear" w:color="auto" w:fill="FFE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D6" w:themeFill="accent2" w:themeFillTint="33"/>
      </w:tcPr>
    </w:tblStylePr>
    <w:tblStylePr w:type="band1Vert">
      <w:tblPr/>
      <w:tcPr>
        <w:shd w:val="clear" w:color="auto" w:fill="FF6299" w:themeFill="accent2" w:themeFillTint="7F"/>
      </w:tcPr>
    </w:tblStylePr>
    <w:tblStylePr w:type="band1Horz">
      <w:tblPr/>
      <w:tcPr>
        <w:tcBorders>
          <w:insideH w:val="single" w:sz="6" w:space="0" w:color="C30045" w:themeColor="accent2"/>
          <w:insideV w:val="single" w:sz="6" w:space="0" w:color="C30045" w:themeColor="accent2"/>
        </w:tcBorders>
        <w:shd w:val="clear" w:color="auto" w:fill="FF62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cPr>
      <w:shd w:val="clear" w:color="auto" w:fill="FCAFF3" w:themeFill="accent3" w:themeFillTint="3F"/>
    </w:tcPr>
    <w:tblStylePr w:type="firstRow">
      <w:rPr>
        <w:b/>
        <w:bCs/>
        <w:color w:val="000000" w:themeColor="text1"/>
      </w:rPr>
      <w:tblPr/>
      <w:tcPr>
        <w:shd w:val="clear" w:color="auto" w:fill="FED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BFF6" w:themeFill="accent3" w:themeFillTint="33"/>
      </w:tcPr>
    </w:tblStylePr>
    <w:tblStylePr w:type="band1Vert">
      <w:tblPr/>
      <w:tcPr>
        <w:shd w:val="clear" w:color="auto" w:fill="FA5FE8" w:themeFill="accent3" w:themeFillTint="7F"/>
      </w:tcPr>
    </w:tblStylePr>
    <w:tblStylePr w:type="band1Horz">
      <w:tblPr/>
      <w:tcPr>
        <w:tcBorders>
          <w:insideH w:val="single" w:sz="6" w:space="0" w:color="B1059D" w:themeColor="accent3"/>
          <w:insideV w:val="single" w:sz="6" w:space="0" w:color="B1059D" w:themeColor="accent3"/>
        </w:tcBorders>
        <w:shd w:val="clear" w:color="auto" w:fill="FA5F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cPr>
      <w:shd w:val="clear" w:color="auto" w:fill="9BFFE8" w:themeFill="accent4" w:themeFillTint="3F"/>
    </w:tcPr>
    <w:tblStylePr w:type="firstRow">
      <w:rPr>
        <w:b/>
        <w:bCs/>
        <w:color w:val="000000" w:themeColor="text1"/>
      </w:rPr>
      <w:tblPr/>
      <w:tcPr>
        <w:shd w:val="clear" w:color="auto" w:fill="D7F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D" w:themeFill="accent4" w:themeFillTint="33"/>
      </w:tcPr>
    </w:tblStylePr>
    <w:tblStylePr w:type="band1Vert">
      <w:tblPr/>
      <w:tcPr>
        <w:shd w:val="clear" w:color="auto" w:fill="37FFD2" w:themeFill="accent4" w:themeFillTint="7F"/>
      </w:tcPr>
    </w:tblStylePr>
    <w:tblStylePr w:type="band1Horz">
      <w:tblPr/>
      <w:tcPr>
        <w:tcBorders>
          <w:insideH w:val="single" w:sz="6" w:space="0" w:color="006D55" w:themeColor="accent4"/>
          <w:insideV w:val="single" w:sz="6" w:space="0" w:color="006D55" w:themeColor="accent4"/>
        </w:tcBorders>
        <w:shd w:val="clear" w:color="auto" w:fill="37FF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cPr>
      <w:shd w:val="clear" w:color="auto" w:fill="E3FFAE" w:themeFill="accent5" w:themeFillTint="3F"/>
    </w:tcPr>
    <w:tblStylePr w:type="firstRow">
      <w:rPr>
        <w:b/>
        <w:bCs/>
        <w:color w:val="000000" w:themeColor="text1"/>
      </w:rPr>
      <w:tblPr/>
      <w:tcPr>
        <w:shd w:val="clear" w:color="auto" w:fill="F4FFD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5" w:themeFillTint="33"/>
      </w:tcPr>
    </w:tblStylePr>
    <w:tblStylePr w:type="band1Vert">
      <w:tblPr/>
      <w:tcPr>
        <w:shd w:val="clear" w:color="auto" w:fill="C8FF5C" w:themeFill="accent5" w:themeFillTint="7F"/>
      </w:tcPr>
    </w:tblStylePr>
    <w:tblStylePr w:type="band1Horz">
      <w:tblPr/>
      <w:tcPr>
        <w:tcBorders>
          <w:insideH w:val="single" w:sz="6" w:space="0" w:color="7AB800" w:themeColor="accent5"/>
          <w:insideV w:val="single" w:sz="6" w:space="0" w:color="7AB800" w:themeColor="accent5"/>
        </w:tcBorders>
        <w:shd w:val="clear" w:color="auto" w:fill="C8FF5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cPr>
      <w:shd w:val="clear" w:color="auto" w:fill="FFDDC0" w:themeFill="accent6" w:themeFillTint="3F"/>
    </w:tcPr>
    <w:tblStylePr w:type="firstRow">
      <w:rPr>
        <w:b/>
        <w:bCs/>
        <w:color w:val="000000" w:themeColor="text1"/>
      </w:rPr>
      <w:tblPr/>
      <w:tcPr>
        <w:shd w:val="clear" w:color="auto" w:fill="FFF1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CC" w:themeFill="accent6" w:themeFillTint="33"/>
      </w:tcPr>
    </w:tblStylePr>
    <w:tblStylePr w:type="band1Vert">
      <w:tblPr/>
      <w:tcPr>
        <w:shd w:val="clear" w:color="auto" w:fill="FFBC80" w:themeFill="accent6" w:themeFillTint="7F"/>
      </w:tcPr>
    </w:tblStylePr>
    <w:tblStylePr w:type="band1Horz">
      <w:tblPr/>
      <w:tcPr>
        <w:tcBorders>
          <w:insideH w:val="single" w:sz="6" w:space="0" w:color="FF7900" w:themeColor="accent6"/>
          <w:insideV w:val="single" w:sz="6" w:space="0" w:color="FF7900" w:themeColor="accent6"/>
        </w:tcBorders>
        <w:shd w:val="clear" w:color="auto" w:fill="FFBC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00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00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99" w:themeFill="accent2" w:themeFillTint="7F"/>
      </w:tcPr>
    </w:tblStylePr>
  </w:style>
  <w:style w:type="table" w:styleId="MediumGrid3-Accent3">
    <w:name w:val="Medium Grid 3 Accent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AF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59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59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5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5FE8" w:themeFill="accent3" w:themeFillTint="7F"/>
      </w:tcPr>
    </w:tblStylePr>
  </w:style>
  <w:style w:type="table" w:styleId="MediumGrid3-Accent4">
    <w:name w:val="Medium Grid 3 Accent 4"/>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F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D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D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FF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FFD2" w:themeFill="accent4" w:themeFillTint="7F"/>
      </w:tcPr>
    </w:tblStylePr>
  </w:style>
  <w:style w:type="table" w:styleId="MediumGrid3-Accent5">
    <w:name w:val="Medium Grid 3 Accent 5"/>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5" w:themeFillTint="7F"/>
      </w:tcPr>
    </w:tblStylePr>
  </w:style>
  <w:style w:type="table" w:styleId="MediumGrid3-Accent6">
    <w:name w:val="Medium Grid 3 Accent 6"/>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9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9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80" w:themeFill="accent6" w:themeFillTint="7F"/>
      </w:tcPr>
    </w:tblStylePr>
  </w:style>
  <w:style w:type="table" w:styleId="MediumList1">
    <w:name w:val="Medium List 1"/>
    <w:basedOn w:val="TableNormal"/>
    <w:uiPriority w:val="65"/>
    <w:rsid w:val="00DD5DC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24B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5DC6"/>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824BB0"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rsid w:val="00DD5DC6"/>
    <w:rPr>
      <w:color w:val="000000" w:themeColor="text1"/>
    </w:rPr>
    <w:tblPr>
      <w:tblStyleRowBandSize w:val="1"/>
      <w:tblStyleColBandSize w:val="1"/>
      <w:tblBorders>
        <w:top w:val="single" w:sz="8" w:space="0" w:color="C30045" w:themeColor="accent2"/>
        <w:bottom w:val="single" w:sz="8" w:space="0" w:color="C30045" w:themeColor="accent2"/>
      </w:tblBorders>
    </w:tblPr>
    <w:tblStylePr w:type="firstRow">
      <w:rPr>
        <w:rFonts w:asciiTheme="majorHAnsi" w:eastAsiaTheme="majorEastAsia" w:hAnsiTheme="majorHAnsi" w:cstheme="majorBidi"/>
      </w:rPr>
      <w:tblPr/>
      <w:tcPr>
        <w:tcBorders>
          <w:top w:val="nil"/>
          <w:bottom w:val="single" w:sz="8" w:space="0" w:color="C30045" w:themeColor="accent2"/>
        </w:tcBorders>
      </w:tcPr>
    </w:tblStylePr>
    <w:tblStylePr w:type="lastRow">
      <w:rPr>
        <w:b/>
        <w:bCs/>
        <w:color w:val="824BB0" w:themeColor="text2"/>
      </w:rPr>
      <w:tblPr/>
      <w:tcPr>
        <w:tcBorders>
          <w:top w:val="single" w:sz="8" w:space="0" w:color="C30045" w:themeColor="accent2"/>
          <w:bottom w:val="single" w:sz="8" w:space="0" w:color="C30045" w:themeColor="accent2"/>
        </w:tcBorders>
      </w:tcPr>
    </w:tblStylePr>
    <w:tblStylePr w:type="firstCol">
      <w:rPr>
        <w:b/>
        <w:bCs/>
      </w:rPr>
    </w:tblStylePr>
    <w:tblStylePr w:type="lastCol">
      <w:rPr>
        <w:b/>
        <w:bCs/>
      </w:rPr>
      <w:tblPr/>
      <w:tcPr>
        <w:tcBorders>
          <w:top w:val="single" w:sz="8" w:space="0" w:color="C30045" w:themeColor="accent2"/>
          <w:bottom w:val="single" w:sz="8" w:space="0" w:color="C30045" w:themeColor="accent2"/>
        </w:tcBorders>
      </w:tcPr>
    </w:tblStylePr>
    <w:tblStylePr w:type="band1Vert">
      <w:tblPr/>
      <w:tcPr>
        <w:shd w:val="clear" w:color="auto" w:fill="FFB1CC" w:themeFill="accent2" w:themeFillTint="3F"/>
      </w:tcPr>
    </w:tblStylePr>
    <w:tblStylePr w:type="band1Horz">
      <w:tblPr/>
      <w:tcPr>
        <w:shd w:val="clear" w:color="auto" w:fill="FFB1CC" w:themeFill="accent2" w:themeFillTint="3F"/>
      </w:tcPr>
    </w:tblStylePr>
  </w:style>
  <w:style w:type="table" w:styleId="MediumList1-Accent3">
    <w:name w:val="Medium List 1 Accent 3"/>
    <w:basedOn w:val="TableNormal"/>
    <w:uiPriority w:val="65"/>
    <w:rsid w:val="00DD5DC6"/>
    <w:rPr>
      <w:color w:val="000000" w:themeColor="text1"/>
    </w:rPr>
    <w:tblPr>
      <w:tblStyleRowBandSize w:val="1"/>
      <w:tblStyleColBandSize w:val="1"/>
      <w:tblBorders>
        <w:top w:val="single" w:sz="8" w:space="0" w:color="B1059D" w:themeColor="accent3"/>
        <w:bottom w:val="single" w:sz="8" w:space="0" w:color="B1059D" w:themeColor="accent3"/>
      </w:tblBorders>
    </w:tblPr>
    <w:tblStylePr w:type="firstRow">
      <w:rPr>
        <w:rFonts w:asciiTheme="majorHAnsi" w:eastAsiaTheme="majorEastAsia" w:hAnsiTheme="majorHAnsi" w:cstheme="majorBidi"/>
      </w:rPr>
      <w:tblPr/>
      <w:tcPr>
        <w:tcBorders>
          <w:top w:val="nil"/>
          <w:bottom w:val="single" w:sz="8" w:space="0" w:color="B1059D" w:themeColor="accent3"/>
        </w:tcBorders>
      </w:tcPr>
    </w:tblStylePr>
    <w:tblStylePr w:type="lastRow">
      <w:rPr>
        <w:b/>
        <w:bCs/>
        <w:color w:val="824BB0" w:themeColor="text2"/>
      </w:rPr>
      <w:tblPr/>
      <w:tcPr>
        <w:tcBorders>
          <w:top w:val="single" w:sz="8" w:space="0" w:color="B1059D" w:themeColor="accent3"/>
          <w:bottom w:val="single" w:sz="8" w:space="0" w:color="B1059D" w:themeColor="accent3"/>
        </w:tcBorders>
      </w:tcPr>
    </w:tblStylePr>
    <w:tblStylePr w:type="firstCol">
      <w:rPr>
        <w:b/>
        <w:bCs/>
      </w:rPr>
    </w:tblStylePr>
    <w:tblStylePr w:type="lastCol">
      <w:rPr>
        <w:b/>
        <w:bCs/>
      </w:rPr>
      <w:tblPr/>
      <w:tcPr>
        <w:tcBorders>
          <w:top w:val="single" w:sz="8" w:space="0" w:color="B1059D" w:themeColor="accent3"/>
          <w:bottom w:val="single" w:sz="8" w:space="0" w:color="B1059D" w:themeColor="accent3"/>
        </w:tcBorders>
      </w:tcPr>
    </w:tblStylePr>
    <w:tblStylePr w:type="band1Vert">
      <w:tblPr/>
      <w:tcPr>
        <w:shd w:val="clear" w:color="auto" w:fill="FCAFF3" w:themeFill="accent3" w:themeFillTint="3F"/>
      </w:tcPr>
    </w:tblStylePr>
    <w:tblStylePr w:type="band1Horz">
      <w:tblPr/>
      <w:tcPr>
        <w:shd w:val="clear" w:color="auto" w:fill="FCAFF3" w:themeFill="accent3" w:themeFillTint="3F"/>
      </w:tcPr>
    </w:tblStylePr>
  </w:style>
  <w:style w:type="table" w:styleId="MediumList1-Accent4">
    <w:name w:val="Medium List 1 Accent 4"/>
    <w:basedOn w:val="TableNormal"/>
    <w:uiPriority w:val="65"/>
    <w:rsid w:val="00DD5DC6"/>
    <w:rPr>
      <w:color w:val="000000" w:themeColor="text1"/>
    </w:rPr>
    <w:tblPr>
      <w:tblStyleRowBandSize w:val="1"/>
      <w:tblStyleColBandSize w:val="1"/>
      <w:tblBorders>
        <w:top w:val="single" w:sz="8" w:space="0" w:color="006D55" w:themeColor="accent4"/>
        <w:bottom w:val="single" w:sz="8" w:space="0" w:color="006D55" w:themeColor="accent4"/>
      </w:tblBorders>
    </w:tblPr>
    <w:tblStylePr w:type="firstRow">
      <w:rPr>
        <w:rFonts w:asciiTheme="majorHAnsi" w:eastAsiaTheme="majorEastAsia" w:hAnsiTheme="majorHAnsi" w:cstheme="majorBidi"/>
      </w:rPr>
      <w:tblPr/>
      <w:tcPr>
        <w:tcBorders>
          <w:top w:val="nil"/>
          <w:bottom w:val="single" w:sz="8" w:space="0" w:color="006D55" w:themeColor="accent4"/>
        </w:tcBorders>
      </w:tcPr>
    </w:tblStylePr>
    <w:tblStylePr w:type="lastRow">
      <w:rPr>
        <w:b/>
        <w:bCs/>
        <w:color w:val="824BB0" w:themeColor="text2"/>
      </w:rPr>
      <w:tblPr/>
      <w:tcPr>
        <w:tcBorders>
          <w:top w:val="single" w:sz="8" w:space="0" w:color="006D55" w:themeColor="accent4"/>
          <w:bottom w:val="single" w:sz="8" w:space="0" w:color="006D55" w:themeColor="accent4"/>
        </w:tcBorders>
      </w:tcPr>
    </w:tblStylePr>
    <w:tblStylePr w:type="firstCol">
      <w:rPr>
        <w:b/>
        <w:bCs/>
      </w:rPr>
    </w:tblStylePr>
    <w:tblStylePr w:type="lastCol">
      <w:rPr>
        <w:b/>
        <w:bCs/>
      </w:rPr>
      <w:tblPr/>
      <w:tcPr>
        <w:tcBorders>
          <w:top w:val="single" w:sz="8" w:space="0" w:color="006D55" w:themeColor="accent4"/>
          <w:bottom w:val="single" w:sz="8" w:space="0" w:color="006D55" w:themeColor="accent4"/>
        </w:tcBorders>
      </w:tcPr>
    </w:tblStylePr>
    <w:tblStylePr w:type="band1Vert">
      <w:tblPr/>
      <w:tcPr>
        <w:shd w:val="clear" w:color="auto" w:fill="9BFFE8" w:themeFill="accent4" w:themeFillTint="3F"/>
      </w:tcPr>
    </w:tblStylePr>
    <w:tblStylePr w:type="band1Horz">
      <w:tblPr/>
      <w:tcPr>
        <w:shd w:val="clear" w:color="auto" w:fill="9BFFE8" w:themeFill="accent4" w:themeFillTint="3F"/>
      </w:tcPr>
    </w:tblStylePr>
  </w:style>
  <w:style w:type="table" w:styleId="MediumList1-Accent5">
    <w:name w:val="Medium List 1 Accent 5"/>
    <w:basedOn w:val="TableNormal"/>
    <w:uiPriority w:val="65"/>
    <w:rsid w:val="00DD5DC6"/>
    <w:rPr>
      <w:color w:val="000000" w:themeColor="text1"/>
    </w:rPr>
    <w:tblPr>
      <w:tblStyleRowBandSize w:val="1"/>
      <w:tblStyleColBandSize w:val="1"/>
      <w:tblBorders>
        <w:top w:val="single" w:sz="8" w:space="0" w:color="7AB800" w:themeColor="accent5"/>
        <w:bottom w:val="single" w:sz="8" w:space="0" w:color="7AB800" w:themeColor="accent5"/>
      </w:tblBorders>
    </w:tblPr>
    <w:tblStylePr w:type="firstRow">
      <w:rPr>
        <w:rFonts w:asciiTheme="majorHAnsi" w:eastAsiaTheme="majorEastAsia" w:hAnsiTheme="majorHAnsi" w:cstheme="majorBidi"/>
      </w:rPr>
      <w:tblPr/>
      <w:tcPr>
        <w:tcBorders>
          <w:top w:val="nil"/>
          <w:bottom w:val="single" w:sz="8" w:space="0" w:color="7AB800" w:themeColor="accent5"/>
        </w:tcBorders>
      </w:tcPr>
    </w:tblStylePr>
    <w:tblStylePr w:type="lastRow">
      <w:rPr>
        <w:b/>
        <w:bCs/>
        <w:color w:val="824BB0" w:themeColor="text2"/>
      </w:rPr>
      <w:tblPr/>
      <w:tcPr>
        <w:tcBorders>
          <w:top w:val="single" w:sz="8" w:space="0" w:color="7AB800" w:themeColor="accent5"/>
          <w:bottom w:val="single" w:sz="8" w:space="0" w:color="7AB800" w:themeColor="accent5"/>
        </w:tcBorders>
      </w:tcPr>
    </w:tblStylePr>
    <w:tblStylePr w:type="firstCol">
      <w:rPr>
        <w:b/>
        <w:bCs/>
      </w:rPr>
    </w:tblStylePr>
    <w:tblStylePr w:type="lastCol">
      <w:rPr>
        <w:b/>
        <w:bCs/>
      </w:rPr>
      <w:tblPr/>
      <w:tcPr>
        <w:tcBorders>
          <w:top w:val="single" w:sz="8" w:space="0" w:color="7AB800" w:themeColor="accent5"/>
          <w:bottom w:val="single" w:sz="8" w:space="0" w:color="7AB800" w:themeColor="accent5"/>
        </w:tcBorders>
      </w:tcPr>
    </w:tblStylePr>
    <w:tblStylePr w:type="band1Vert">
      <w:tblPr/>
      <w:tcPr>
        <w:shd w:val="clear" w:color="auto" w:fill="E3FFAE" w:themeFill="accent5" w:themeFillTint="3F"/>
      </w:tcPr>
    </w:tblStylePr>
    <w:tblStylePr w:type="band1Horz">
      <w:tblPr/>
      <w:tcPr>
        <w:shd w:val="clear" w:color="auto" w:fill="E3FFAE" w:themeFill="accent5" w:themeFillTint="3F"/>
      </w:tcPr>
    </w:tblStylePr>
  </w:style>
  <w:style w:type="table" w:styleId="MediumList1-Accent6">
    <w:name w:val="Medium List 1 Accent 6"/>
    <w:basedOn w:val="TableNormal"/>
    <w:uiPriority w:val="65"/>
    <w:rsid w:val="00DD5DC6"/>
    <w:rPr>
      <w:color w:val="000000" w:themeColor="text1"/>
    </w:rPr>
    <w:tblPr>
      <w:tblStyleRowBandSize w:val="1"/>
      <w:tblStyleColBandSize w:val="1"/>
      <w:tblBorders>
        <w:top w:val="single" w:sz="8" w:space="0" w:color="FF7900" w:themeColor="accent6"/>
        <w:bottom w:val="single" w:sz="8" w:space="0" w:color="FF7900" w:themeColor="accent6"/>
      </w:tblBorders>
    </w:tblPr>
    <w:tblStylePr w:type="firstRow">
      <w:rPr>
        <w:rFonts w:asciiTheme="majorHAnsi" w:eastAsiaTheme="majorEastAsia" w:hAnsiTheme="majorHAnsi" w:cstheme="majorBidi"/>
      </w:rPr>
      <w:tblPr/>
      <w:tcPr>
        <w:tcBorders>
          <w:top w:val="nil"/>
          <w:bottom w:val="single" w:sz="8" w:space="0" w:color="FF7900" w:themeColor="accent6"/>
        </w:tcBorders>
      </w:tcPr>
    </w:tblStylePr>
    <w:tblStylePr w:type="lastRow">
      <w:rPr>
        <w:b/>
        <w:bCs/>
        <w:color w:val="824BB0" w:themeColor="text2"/>
      </w:rPr>
      <w:tblPr/>
      <w:tcPr>
        <w:tcBorders>
          <w:top w:val="single" w:sz="8" w:space="0" w:color="FF7900" w:themeColor="accent6"/>
          <w:bottom w:val="single" w:sz="8" w:space="0" w:color="FF7900" w:themeColor="accent6"/>
        </w:tcBorders>
      </w:tcPr>
    </w:tblStylePr>
    <w:tblStylePr w:type="firstCol">
      <w:rPr>
        <w:b/>
        <w:bCs/>
      </w:rPr>
    </w:tblStylePr>
    <w:tblStylePr w:type="lastCol">
      <w:rPr>
        <w:b/>
        <w:bCs/>
      </w:rPr>
      <w:tblPr/>
      <w:tcPr>
        <w:tcBorders>
          <w:top w:val="single" w:sz="8" w:space="0" w:color="FF7900" w:themeColor="accent6"/>
          <w:bottom w:val="single" w:sz="8" w:space="0" w:color="FF7900" w:themeColor="accent6"/>
        </w:tcBorders>
      </w:tcPr>
    </w:tblStylePr>
    <w:tblStylePr w:type="band1Vert">
      <w:tblPr/>
      <w:tcPr>
        <w:shd w:val="clear" w:color="auto" w:fill="FFDDC0" w:themeFill="accent6" w:themeFillTint="3F"/>
      </w:tcPr>
    </w:tblStylePr>
    <w:tblStylePr w:type="band1Horz">
      <w:tblPr/>
      <w:tcPr>
        <w:shd w:val="clear" w:color="auto" w:fill="FFDDC0" w:themeFill="accent6" w:themeFillTint="3F"/>
      </w:tcPr>
    </w:tblStylePr>
  </w:style>
  <w:style w:type="table" w:styleId="MediumList2">
    <w:name w:val="Medium Lis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rPr>
        <w:sz w:val="24"/>
        <w:szCs w:val="24"/>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tblPr/>
      <w:tcPr>
        <w:tcBorders>
          <w:top w:val="single" w:sz="8" w:space="0" w:color="C3004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0045" w:themeColor="accent2"/>
          <w:insideH w:val="nil"/>
          <w:insideV w:val="nil"/>
        </w:tcBorders>
        <w:shd w:val="clear" w:color="auto" w:fill="FFFFFF" w:themeFill="background1"/>
      </w:tcPr>
    </w:tblStylePr>
    <w:tblStylePr w:type="lastCol">
      <w:tblPr/>
      <w:tcPr>
        <w:tcBorders>
          <w:top w:val="nil"/>
          <w:left w:val="single" w:sz="8" w:space="0" w:color="C300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top w:val="nil"/>
          <w:bottom w:val="nil"/>
          <w:insideH w:val="nil"/>
          <w:insideV w:val="nil"/>
        </w:tcBorders>
        <w:shd w:val="clear" w:color="auto" w:fill="FFB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rPr>
        <w:sz w:val="24"/>
        <w:szCs w:val="24"/>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tblPr/>
      <w:tcPr>
        <w:tcBorders>
          <w:top w:val="single" w:sz="8" w:space="0" w:color="B1059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59D" w:themeColor="accent3"/>
          <w:insideH w:val="nil"/>
          <w:insideV w:val="nil"/>
        </w:tcBorders>
        <w:shd w:val="clear" w:color="auto" w:fill="FFFFFF" w:themeFill="background1"/>
      </w:tcPr>
    </w:tblStylePr>
    <w:tblStylePr w:type="lastCol">
      <w:tblPr/>
      <w:tcPr>
        <w:tcBorders>
          <w:top w:val="nil"/>
          <w:left w:val="single" w:sz="8" w:space="0" w:color="B1059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top w:val="nil"/>
          <w:bottom w:val="nil"/>
          <w:insideH w:val="nil"/>
          <w:insideV w:val="nil"/>
        </w:tcBorders>
        <w:shd w:val="clear" w:color="auto" w:fill="FCAF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rPr>
        <w:sz w:val="24"/>
        <w:szCs w:val="24"/>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tblPr/>
      <w:tcPr>
        <w:tcBorders>
          <w:top w:val="single" w:sz="8" w:space="0" w:color="006D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D55" w:themeColor="accent4"/>
          <w:insideH w:val="nil"/>
          <w:insideV w:val="nil"/>
        </w:tcBorders>
        <w:shd w:val="clear" w:color="auto" w:fill="FFFFFF" w:themeFill="background1"/>
      </w:tcPr>
    </w:tblStylePr>
    <w:tblStylePr w:type="lastCol">
      <w:tblPr/>
      <w:tcPr>
        <w:tcBorders>
          <w:top w:val="nil"/>
          <w:left w:val="single" w:sz="8" w:space="0" w:color="006D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top w:val="nil"/>
          <w:bottom w:val="nil"/>
          <w:insideH w:val="nil"/>
          <w:insideV w:val="nil"/>
        </w:tcBorders>
        <w:shd w:val="clear" w:color="auto" w:fill="9BF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rPr>
        <w:sz w:val="24"/>
        <w:szCs w:val="24"/>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tblPr/>
      <w:tcPr>
        <w:tcBorders>
          <w:top w:val="single" w:sz="8" w:space="0" w:color="7AB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5"/>
          <w:insideH w:val="nil"/>
          <w:insideV w:val="nil"/>
        </w:tcBorders>
        <w:shd w:val="clear" w:color="auto" w:fill="FFFFFF" w:themeFill="background1"/>
      </w:tcPr>
    </w:tblStylePr>
    <w:tblStylePr w:type="lastCol">
      <w:tblPr/>
      <w:tcPr>
        <w:tcBorders>
          <w:top w:val="nil"/>
          <w:left w:val="single" w:sz="8" w:space="0" w:color="7AB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top w:val="nil"/>
          <w:bottom w:val="nil"/>
          <w:insideH w:val="nil"/>
          <w:insideV w:val="nil"/>
        </w:tcBorders>
        <w:shd w:val="clear" w:color="auto" w:fill="E3FFA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rPr>
        <w:sz w:val="24"/>
        <w:szCs w:val="24"/>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tblPr/>
      <w:tcPr>
        <w:tcBorders>
          <w:top w:val="single" w:sz="8" w:space="0" w:color="FF79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900" w:themeColor="accent6"/>
          <w:insideH w:val="nil"/>
          <w:insideV w:val="nil"/>
        </w:tcBorders>
        <w:shd w:val="clear" w:color="auto" w:fill="FFFFFF" w:themeFill="background1"/>
      </w:tcPr>
    </w:tblStylePr>
    <w:tblStylePr w:type="lastCol">
      <w:tblPr/>
      <w:tcPr>
        <w:tcBorders>
          <w:top w:val="nil"/>
          <w:left w:val="single" w:sz="8" w:space="0" w:color="FF79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top w:val="nil"/>
          <w:bottom w:val="nil"/>
          <w:insideH w:val="nil"/>
          <w:insideV w:val="nil"/>
        </w:tcBorders>
        <w:shd w:val="clear" w:color="auto" w:fill="FFDD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tblBorders>
    </w:tblPr>
    <w:tblStylePr w:type="firstRow">
      <w:pPr>
        <w:spacing w:before="0" w:after="0" w:line="240" w:lineRule="auto"/>
      </w:pPr>
      <w:rPr>
        <w:b/>
        <w:bCs/>
        <w:color w:val="FFFFFF" w:themeColor="background1"/>
      </w:rPr>
      <w:tblPr/>
      <w:tcPr>
        <w:tc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shd w:val="clear" w:color="auto" w:fill="C30045" w:themeFill="accent2"/>
      </w:tcPr>
    </w:tblStylePr>
    <w:tblStylePr w:type="lastRow">
      <w:pPr>
        <w:spacing w:before="0" w:after="0" w:line="240" w:lineRule="auto"/>
      </w:pPr>
      <w:rPr>
        <w:b/>
        <w:bCs/>
      </w:rPr>
      <w:tblPr/>
      <w:tcPr>
        <w:tcBorders>
          <w:top w:val="double" w:sz="6"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1CC" w:themeFill="accent2" w:themeFillTint="3F"/>
      </w:tcPr>
    </w:tblStylePr>
    <w:tblStylePr w:type="band1Horz">
      <w:tblPr/>
      <w:tcPr>
        <w:tcBorders>
          <w:insideH w:val="nil"/>
          <w:insideV w:val="nil"/>
        </w:tcBorders>
        <w:shd w:val="clear" w:color="auto" w:fill="FFB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tblBorders>
    </w:tblPr>
    <w:tblStylePr w:type="firstRow">
      <w:pPr>
        <w:spacing w:before="0" w:after="0" w:line="240" w:lineRule="auto"/>
      </w:pPr>
      <w:rPr>
        <w:b/>
        <w:bCs/>
        <w:color w:val="FFFFFF" w:themeColor="background1"/>
      </w:rPr>
      <w:tblPr/>
      <w:tcPr>
        <w:tc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shd w:val="clear" w:color="auto" w:fill="B1059D" w:themeFill="accent3"/>
      </w:tcPr>
    </w:tblStylePr>
    <w:tblStylePr w:type="lastRow">
      <w:pPr>
        <w:spacing w:before="0" w:after="0" w:line="240" w:lineRule="auto"/>
      </w:pPr>
      <w:rPr>
        <w:b/>
        <w:bCs/>
      </w:rPr>
      <w:tblPr/>
      <w:tcPr>
        <w:tcBorders>
          <w:top w:val="double" w:sz="6"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AFF3" w:themeFill="accent3" w:themeFillTint="3F"/>
      </w:tcPr>
    </w:tblStylePr>
    <w:tblStylePr w:type="band1Horz">
      <w:tblPr/>
      <w:tcPr>
        <w:tcBorders>
          <w:insideH w:val="nil"/>
          <w:insideV w:val="nil"/>
        </w:tcBorders>
        <w:shd w:val="clear" w:color="auto" w:fill="FCAF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tblBorders>
    </w:tblPr>
    <w:tblStylePr w:type="firstRow">
      <w:pPr>
        <w:spacing w:before="0" w:after="0" w:line="240" w:lineRule="auto"/>
      </w:pPr>
      <w:rPr>
        <w:b/>
        <w:bCs/>
        <w:color w:val="FFFFFF" w:themeColor="background1"/>
      </w:rPr>
      <w:tblPr/>
      <w:tcPr>
        <w:tc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shd w:val="clear" w:color="auto" w:fill="006D55" w:themeFill="accent4"/>
      </w:tcPr>
    </w:tblStylePr>
    <w:tblStylePr w:type="lastRow">
      <w:pPr>
        <w:spacing w:before="0" w:after="0" w:line="240" w:lineRule="auto"/>
      </w:pPr>
      <w:rPr>
        <w:b/>
        <w:bCs/>
      </w:rPr>
      <w:tblPr/>
      <w:tcPr>
        <w:tcBorders>
          <w:top w:val="double" w:sz="6"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FFE8" w:themeFill="accent4" w:themeFillTint="3F"/>
      </w:tcPr>
    </w:tblStylePr>
    <w:tblStylePr w:type="band1Horz">
      <w:tblPr/>
      <w:tcPr>
        <w:tcBorders>
          <w:insideH w:val="nil"/>
          <w:insideV w:val="nil"/>
        </w:tcBorders>
        <w:shd w:val="clear" w:color="auto" w:fill="9BF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tblBorders>
    </w:tblPr>
    <w:tblStylePr w:type="firstRow">
      <w:pPr>
        <w:spacing w:before="0" w:after="0" w:line="240" w:lineRule="auto"/>
      </w:pPr>
      <w:rPr>
        <w:b/>
        <w:bCs/>
        <w:color w:val="FFFFFF" w:themeColor="background1"/>
      </w:rPr>
      <w:tblPr/>
      <w:tcPr>
        <w:tc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shd w:val="clear" w:color="auto" w:fill="7AB800" w:themeFill="accent5"/>
      </w:tcPr>
    </w:tblStylePr>
    <w:tblStylePr w:type="lastRow">
      <w:pPr>
        <w:spacing w:before="0" w:after="0" w:line="240" w:lineRule="auto"/>
      </w:pPr>
      <w:rPr>
        <w:b/>
        <w:bCs/>
      </w:rPr>
      <w:tblPr/>
      <w:tcPr>
        <w:tcBorders>
          <w:top w:val="double" w:sz="6"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5" w:themeFillTint="3F"/>
      </w:tcPr>
    </w:tblStylePr>
    <w:tblStylePr w:type="band1Horz">
      <w:tblPr/>
      <w:tcPr>
        <w:tcBorders>
          <w:insideH w:val="nil"/>
          <w:insideV w:val="nil"/>
        </w:tcBorders>
        <w:shd w:val="clear" w:color="auto" w:fill="E3FFA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tblBorders>
    </w:tblPr>
    <w:tblStylePr w:type="firstRow">
      <w:pPr>
        <w:spacing w:before="0" w:after="0" w:line="240" w:lineRule="auto"/>
      </w:pPr>
      <w:rPr>
        <w:b/>
        <w:bCs/>
        <w:color w:val="FFFFFF" w:themeColor="background1"/>
      </w:rPr>
      <w:tblPr/>
      <w:tcPr>
        <w:tc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shd w:val="clear" w:color="auto" w:fill="FF7900" w:themeFill="accent6"/>
      </w:tcPr>
    </w:tblStylePr>
    <w:tblStylePr w:type="lastRow">
      <w:pPr>
        <w:spacing w:before="0" w:after="0" w:line="240" w:lineRule="auto"/>
      </w:pPr>
      <w:rPr>
        <w:b/>
        <w:bCs/>
      </w:rPr>
      <w:tblPr/>
      <w:tcPr>
        <w:tcBorders>
          <w:top w:val="double" w:sz="6"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DC0" w:themeFill="accent6" w:themeFillTint="3F"/>
      </w:tcPr>
    </w:tblStylePr>
    <w:tblStylePr w:type="band1Horz">
      <w:tblPr/>
      <w:tcPr>
        <w:tcBorders>
          <w:insideH w:val="nil"/>
          <w:insideV w:val="nil"/>
        </w:tcBorders>
        <w:shd w:val="clear" w:color="auto" w:fill="FFDD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00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0045" w:themeFill="accent2"/>
      </w:tcPr>
    </w:tblStylePr>
    <w:tblStylePr w:type="lastCol">
      <w:rPr>
        <w:b/>
        <w:bCs/>
        <w:color w:val="FFFFFF" w:themeColor="background1"/>
      </w:rPr>
      <w:tblPr/>
      <w:tcPr>
        <w:tcBorders>
          <w:left w:val="nil"/>
          <w:right w:val="nil"/>
          <w:insideH w:val="nil"/>
          <w:insideV w:val="nil"/>
        </w:tcBorders>
        <w:shd w:val="clear" w:color="auto" w:fill="C300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59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59D" w:themeFill="accent3"/>
      </w:tcPr>
    </w:tblStylePr>
    <w:tblStylePr w:type="lastCol">
      <w:rPr>
        <w:b/>
        <w:bCs/>
        <w:color w:val="FFFFFF" w:themeColor="background1"/>
      </w:rPr>
      <w:tblPr/>
      <w:tcPr>
        <w:tcBorders>
          <w:left w:val="nil"/>
          <w:right w:val="nil"/>
          <w:insideH w:val="nil"/>
          <w:insideV w:val="nil"/>
        </w:tcBorders>
        <w:shd w:val="clear" w:color="auto" w:fill="B1059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D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D55" w:themeFill="accent4"/>
      </w:tcPr>
    </w:tblStylePr>
    <w:tblStylePr w:type="lastCol">
      <w:rPr>
        <w:b/>
        <w:bCs/>
        <w:color w:val="FFFFFF" w:themeColor="background1"/>
      </w:rPr>
      <w:tblPr/>
      <w:tcPr>
        <w:tcBorders>
          <w:left w:val="nil"/>
          <w:right w:val="nil"/>
          <w:insideH w:val="nil"/>
          <w:insideV w:val="nil"/>
        </w:tcBorders>
        <w:shd w:val="clear" w:color="auto" w:fill="006D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5"/>
      </w:tcPr>
    </w:tblStylePr>
    <w:tblStylePr w:type="lastCol">
      <w:rPr>
        <w:b/>
        <w:bCs/>
        <w:color w:val="FFFFFF" w:themeColor="background1"/>
      </w:rPr>
      <w:tblPr/>
      <w:tcPr>
        <w:tcBorders>
          <w:left w:val="nil"/>
          <w:right w:val="nil"/>
          <w:insideH w:val="nil"/>
          <w:insideV w:val="nil"/>
        </w:tcBorders>
        <w:shd w:val="clear" w:color="auto" w:fill="7AB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9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900" w:themeFill="accent6"/>
      </w:tcPr>
    </w:tblStylePr>
    <w:tblStylePr w:type="lastCol">
      <w:rPr>
        <w:b/>
        <w:bCs/>
        <w:color w:val="FFFFFF" w:themeColor="background1"/>
      </w:rPr>
      <w:tblPr/>
      <w:tcPr>
        <w:tcBorders>
          <w:left w:val="nil"/>
          <w:right w:val="nil"/>
          <w:insideH w:val="nil"/>
          <w:insideV w:val="nil"/>
        </w:tcBorders>
        <w:shd w:val="clear" w:color="auto" w:fill="FF79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D5DC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D5DC6"/>
    <w:rPr>
      <w:rFonts w:asciiTheme="majorHAnsi" w:eastAsiaTheme="majorEastAsia" w:hAnsiTheme="majorHAnsi" w:cstheme="majorBidi"/>
      <w:sz w:val="24"/>
      <w:szCs w:val="24"/>
      <w:shd w:val="pct20" w:color="auto" w:fill="auto"/>
      <w:lang w:val="en-US"/>
    </w:rPr>
  </w:style>
  <w:style w:type="paragraph" w:styleId="NoSpacing">
    <w:name w:val="No Spacing"/>
    <w:uiPriority w:val="1"/>
    <w:rsid w:val="00DD5DC6"/>
    <w:rPr>
      <w:rFonts w:ascii="Garamond" w:hAnsi="Garamond" w:cs="Arial"/>
      <w:sz w:val="22"/>
    </w:rPr>
  </w:style>
  <w:style w:type="paragraph" w:styleId="NormalWeb">
    <w:name w:val="Normal (Web)"/>
    <w:basedOn w:val="Normal"/>
    <w:rsid w:val="00DD5DC6"/>
    <w:rPr>
      <w:rFonts w:ascii="Times New Roman" w:hAnsi="Times New Roman" w:cs="Times New Roman"/>
      <w:sz w:val="24"/>
      <w:szCs w:val="24"/>
    </w:rPr>
  </w:style>
  <w:style w:type="paragraph" w:styleId="NormalIndent">
    <w:name w:val="Normal Indent"/>
    <w:basedOn w:val="Normal"/>
    <w:rsid w:val="00DD5DC6"/>
    <w:pPr>
      <w:ind w:left="720"/>
    </w:pPr>
  </w:style>
  <w:style w:type="paragraph" w:styleId="NoteHeading">
    <w:name w:val="Note Heading"/>
    <w:basedOn w:val="Normal"/>
    <w:next w:val="Normal"/>
    <w:link w:val="NoteHeadingChar"/>
    <w:rsid w:val="00DD5DC6"/>
  </w:style>
  <w:style w:type="character" w:customStyle="1" w:styleId="NoteHeadingChar">
    <w:name w:val="Note Heading Char"/>
    <w:basedOn w:val="DefaultParagraphFont"/>
    <w:link w:val="NoteHeading"/>
    <w:rsid w:val="00DD5DC6"/>
    <w:rPr>
      <w:rFonts w:ascii="Garamond" w:hAnsi="Garamond" w:cs="Arial"/>
      <w:sz w:val="22"/>
      <w:lang w:val="en-US"/>
    </w:rPr>
  </w:style>
  <w:style w:type="character" w:styleId="PageNumber">
    <w:name w:val="page number"/>
    <w:basedOn w:val="DefaultParagraphFont"/>
    <w:rsid w:val="00DD5DC6"/>
    <w:rPr>
      <w:lang w:val="en-US"/>
    </w:rPr>
  </w:style>
  <w:style w:type="character" w:styleId="PlaceholderText">
    <w:name w:val="Placeholder Text"/>
    <w:basedOn w:val="DefaultParagraphFont"/>
    <w:uiPriority w:val="99"/>
    <w:semiHidden/>
    <w:rsid w:val="00DD5DC6"/>
    <w:rPr>
      <w:color w:val="808080"/>
      <w:lang w:val="en-US"/>
    </w:rPr>
  </w:style>
  <w:style w:type="paragraph" w:styleId="PlainText">
    <w:name w:val="Plain Text"/>
    <w:basedOn w:val="Normal"/>
    <w:link w:val="PlainTextChar"/>
    <w:rsid w:val="00DD5DC6"/>
    <w:rPr>
      <w:rFonts w:ascii="Consolas" w:hAnsi="Consolas"/>
      <w:sz w:val="21"/>
      <w:szCs w:val="21"/>
    </w:rPr>
  </w:style>
  <w:style w:type="character" w:customStyle="1" w:styleId="PlainTextChar">
    <w:name w:val="Plain Text Char"/>
    <w:basedOn w:val="DefaultParagraphFont"/>
    <w:link w:val="PlainText"/>
    <w:rsid w:val="00DD5DC6"/>
    <w:rPr>
      <w:rFonts w:ascii="Consolas" w:hAnsi="Consolas" w:cs="Arial"/>
      <w:sz w:val="21"/>
      <w:szCs w:val="21"/>
      <w:lang w:val="en-US"/>
    </w:rPr>
  </w:style>
  <w:style w:type="paragraph" w:styleId="Salutation">
    <w:name w:val="Salutation"/>
    <w:basedOn w:val="Normal"/>
    <w:next w:val="Normal"/>
    <w:link w:val="SalutationChar"/>
    <w:rsid w:val="00DD5DC6"/>
  </w:style>
  <w:style w:type="character" w:customStyle="1" w:styleId="SalutationChar">
    <w:name w:val="Salutation Char"/>
    <w:basedOn w:val="DefaultParagraphFont"/>
    <w:link w:val="Salutation"/>
    <w:rsid w:val="00DD5DC6"/>
    <w:rPr>
      <w:rFonts w:ascii="Garamond" w:hAnsi="Garamond" w:cs="Arial"/>
      <w:sz w:val="22"/>
      <w:lang w:val="en-US"/>
    </w:rPr>
  </w:style>
  <w:style w:type="paragraph" w:styleId="Signature">
    <w:name w:val="Signature"/>
    <w:basedOn w:val="Normal"/>
    <w:link w:val="SignatureChar"/>
    <w:rsid w:val="00DD5DC6"/>
    <w:pPr>
      <w:ind w:left="4320"/>
    </w:pPr>
  </w:style>
  <w:style w:type="character" w:customStyle="1" w:styleId="SignatureChar">
    <w:name w:val="Signature Char"/>
    <w:basedOn w:val="DefaultParagraphFont"/>
    <w:link w:val="Signature"/>
    <w:rsid w:val="00DD5DC6"/>
    <w:rPr>
      <w:rFonts w:ascii="Garamond" w:hAnsi="Garamond" w:cs="Arial"/>
      <w:sz w:val="22"/>
      <w:lang w:val="en-US"/>
    </w:rPr>
  </w:style>
  <w:style w:type="character" w:styleId="Strong">
    <w:name w:val="Strong"/>
    <w:basedOn w:val="DefaultParagraphFont"/>
    <w:rsid w:val="00DD5DC6"/>
    <w:rPr>
      <w:b/>
      <w:bCs/>
      <w:lang w:val="en-US"/>
    </w:rPr>
  </w:style>
  <w:style w:type="character" w:styleId="SubtleEmphasis">
    <w:name w:val="Subtle Emphasis"/>
    <w:basedOn w:val="DefaultParagraphFont"/>
    <w:uiPriority w:val="19"/>
    <w:rsid w:val="00DD5DC6"/>
    <w:rPr>
      <w:i/>
      <w:iCs/>
      <w:color w:val="808080" w:themeColor="text1" w:themeTint="7F"/>
      <w:lang w:val="en-US"/>
    </w:rPr>
  </w:style>
  <w:style w:type="character" w:styleId="SubtleReference">
    <w:name w:val="Subtle Reference"/>
    <w:basedOn w:val="DefaultParagraphFont"/>
    <w:uiPriority w:val="31"/>
    <w:rsid w:val="00DD5DC6"/>
    <w:rPr>
      <w:smallCaps/>
      <w:color w:val="C30045" w:themeColor="accent2"/>
      <w:u w:val="single"/>
      <w:lang w:val="en-US"/>
    </w:rPr>
  </w:style>
  <w:style w:type="table" w:styleId="Table3Deffects1">
    <w:name w:val="Table 3D effects 1"/>
    <w:basedOn w:val="TableNormal"/>
    <w:rsid w:val="00DD5D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5D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5D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5D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5D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5D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5D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5D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5D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5D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5D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5D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5D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5D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5D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5D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5D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5D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5D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5D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5D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5D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5D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5D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5D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5D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5D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5D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5D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D5DC6"/>
    <w:pPr>
      <w:ind w:left="220" w:hanging="220"/>
    </w:pPr>
  </w:style>
  <w:style w:type="paragraph" w:styleId="TableofFigures">
    <w:name w:val="table of figures"/>
    <w:basedOn w:val="Normal"/>
    <w:next w:val="Normal"/>
    <w:rsid w:val="00DD5DC6"/>
  </w:style>
  <w:style w:type="table" w:styleId="TableProfessional">
    <w:name w:val="Table Professional"/>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5D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5D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5D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5D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5D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5D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5D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5D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D5DC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rsid w:val="00DD5DC6"/>
    <w:pPr>
      <w:spacing w:after="100"/>
      <w:ind w:left="660"/>
    </w:pPr>
  </w:style>
  <w:style w:type="paragraph" w:styleId="TOC5">
    <w:name w:val="toc 5"/>
    <w:basedOn w:val="Normal"/>
    <w:next w:val="Normal"/>
    <w:autoRedefine/>
    <w:rsid w:val="00DD5DC6"/>
    <w:pPr>
      <w:spacing w:after="100"/>
      <w:ind w:left="880"/>
    </w:pPr>
  </w:style>
  <w:style w:type="paragraph" w:styleId="TOC6">
    <w:name w:val="toc 6"/>
    <w:basedOn w:val="Normal"/>
    <w:next w:val="Normal"/>
    <w:autoRedefine/>
    <w:rsid w:val="00DD5DC6"/>
    <w:pPr>
      <w:spacing w:after="100"/>
      <w:ind w:left="1100"/>
    </w:pPr>
  </w:style>
  <w:style w:type="paragraph" w:styleId="TOC7">
    <w:name w:val="toc 7"/>
    <w:basedOn w:val="Normal"/>
    <w:next w:val="Normal"/>
    <w:autoRedefine/>
    <w:rsid w:val="00DD5DC6"/>
    <w:pPr>
      <w:spacing w:after="100"/>
      <w:ind w:left="1320"/>
    </w:pPr>
  </w:style>
  <w:style w:type="paragraph" w:styleId="TOC8">
    <w:name w:val="toc 8"/>
    <w:basedOn w:val="Normal"/>
    <w:next w:val="Normal"/>
    <w:autoRedefine/>
    <w:rsid w:val="00DD5DC6"/>
    <w:pPr>
      <w:spacing w:after="100"/>
      <w:ind w:left="1540"/>
    </w:pPr>
  </w:style>
  <w:style w:type="paragraph" w:styleId="TOC9">
    <w:name w:val="toc 9"/>
    <w:basedOn w:val="Normal"/>
    <w:next w:val="Normal"/>
    <w:autoRedefine/>
    <w:rsid w:val="00DD5DC6"/>
    <w:pPr>
      <w:spacing w:after="100"/>
      <w:ind w:left="1760"/>
    </w:pPr>
  </w:style>
  <w:style w:type="paragraph" w:styleId="TOCHeading">
    <w:name w:val="TOC Heading"/>
    <w:basedOn w:val="Heading1"/>
    <w:next w:val="Normal"/>
    <w:uiPriority w:val="39"/>
    <w:semiHidden/>
    <w:unhideWhenUsed/>
    <w:qFormat/>
    <w:rsid w:val="00DD5DC6"/>
    <w:pPr>
      <w:keepLines/>
      <w:spacing w:before="480" w:line="240" w:lineRule="auto"/>
      <w:outlineLvl w:val="9"/>
    </w:pPr>
    <w:rPr>
      <w:rFonts w:asciiTheme="majorHAnsi" w:eastAsiaTheme="majorEastAsia" w:hAnsiTheme="majorHAnsi" w:cstheme="majorBidi"/>
      <w:b/>
      <w:color w:val="3A215E" w:themeColor="accent1" w:themeShade="BF"/>
      <w:kern w:val="0"/>
      <w:sz w:val="28"/>
    </w:rPr>
  </w:style>
  <w:style w:type="character" w:customStyle="1" w:styleId="FooterChar">
    <w:name w:val="Footer Char"/>
    <w:basedOn w:val="DefaultParagraphFont"/>
    <w:link w:val="Footer"/>
    <w:uiPriority w:val="99"/>
    <w:rsid w:val="00E46EBA"/>
    <w:rPr>
      <w:rFonts w:ascii="Arial" w:hAnsi="Arial" w:cs="Arial"/>
      <w:b/>
      <w:color w:val="747678"/>
      <w:sz w:val="13"/>
    </w:rPr>
  </w:style>
  <w:style w:type="character" w:customStyle="1" w:styleId="Heading1Char">
    <w:name w:val="Heading 1 Char"/>
    <w:basedOn w:val="DefaultParagraphFont"/>
    <w:link w:val="Heading1"/>
    <w:rsid w:val="00AC06AF"/>
    <w:rPr>
      <w:rFonts w:ascii="Arial Black" w:hAnsi="Arial Black" w:cs="Arial"/>
      <w:bCs/>
      <w:color w:val="4F2D7F"/>
      <w:kern w:val="32"/>
      <w:sz w:val="19"/>
      <w:szCs w:val="28"/>
    </w:rPr>
  </w:style>
  <w:style w:type="character" w:customStyle="1" w:styleId="Heading2Char">
    <w:name w:val="Heading 2 Char"/>
    <w:basedOn w:val="DefaultParagraphFont"/>
    <w:link w:val="Heading2"/>
    <w:rsid w:val="00AC06AF"/>
    <w:rPr>
      <w:rFonts w:ascii="Arial Black" w:hAnsi="Arial Black" w:cs="Arial"/>
      <w:kern w:val="32"/>
      <w:sz w:val="19"/>
      <w:szCs w:val="24"/>
    </w:rPr>
  </w:style>
  <w:style w:type="character" w:customStyle="1" w:styleId="Heading3Char">
    <w:name w:val="Heading 3 Char"/>
    <w:basedOn w:val="DefaultParagraphFont"/>
    <w:link w:val="Heading3"/>
    <w:rsid w:val="00AC06AF"/>
    <w:rPr>
      <w:rFonts w:ascii="Arial" w:hAnsi="Arial" w:cs="Arial"/>
      <w:bCs/>
      <w:kern w:val="32"/>
      <w:sz w:val="19"/>
      <w:szCs w:val="22"/>
    </w:rPr>
  </w:style>
  <w:style w:type="table" w:styleId="GridTable5Dark-Accent1">
    <w:name w:val="Grid Table 5 Dark Accent 1"/>
    <w:basedOn w:val="TableNormal"/>
    <w:uiPriority w:val="50"/>
    <w:rsid w:val="00F076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CD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2D7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2D7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2D7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2D7F" w:themeFill="accent1"/>
      </w:tcPr>
    </w:tblStylePr>
    <w:tblStylePr w:type="band1Vert">
      <w:tblPr/>
      <w:tcPr>
        <w:shd w:val="clear" w:color="auto" w:fill="B59BDB" w:themeFill="accent1" w:themeFillTint="66"/>
      </w:tcPr>
    </w:tblStylePr>
    <w:tblStylePr w:type="band1Horz">
      <w:tblPr/>
      <w:tcPr>
        <w:shd w:val="clear" w:color="auto" w:fill="B59BDB" w:themeFill="accent1" w:themeFillTint="66"/>
      </w:tcPr>
    </w:tblStylePr>
  </w:style>
  <w:style w:type="table" w:styleId="GridTable4">
    <w:name w:val="Grid Table 4"/>
    <w:basedOn w:val="TableNormal"/>
    <w:uiPriority w:val="49"/>
    <w:rsid w:val="00CC031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apple-converted-space">
    <w:name w:val="apple-converted-space"/>
    <w:basedOn w:val="DefaultParagraphFont"/>
    <w:rsid w:val="00AE07A4"/>
  </w:style>
  <w:style w:type="paragraph" w:customStyle="1" w:styleId="Default">
    <w:name w:val="Default"/>
    <w:rsid w:val="0094464C"/>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120553">
      <w:bodyDiv w:val="1"/>
      <w:marLeft w:val="0"/>
      <w:marRight w:val="0"/>
      <w:marTop w:val="0"/>
      <w:marBottom w:val="0"/>
      <w:divBdr>
        <w:top w:val="none" w:sz="0" w:space="0" w:color="auto"/>
        <w:left w:val="none" w:sz="0" w:space="0" w:color="auto"/>
        <w:bottom w:val="none" w:sz="0" w:space="0" w:color="auto"/>
        <w:right w:val="none" w:sz="0" w:space="0" w:color="auto"/>
      </w:divBdr>
    </w:div>
    <w:div w:id="515849212">
      <w:bodyDiv w:val="1"/>
      <w:marLeft w:val="0"/>
      <w:marRight w:val="0"/>
      <w:marTop w:val="0"/>
      <w:marBottom w:val="0"/>
      <w:divBdr>
        <w:top w:val="none" w:sz="0" w:space="0" w:color="auto"/>
        <w:left w:val="none" w:sz="0" w:space="0" w:color="auto"/>
        <w:bottom w:val="none" w:sz="0" w:space="0" w:color="auto"/>
        <w:right w:val="none" w:sz="0" w:space="0" w:color="auto"/>
      </w:divBdr>
    </w:div>
    <w:div w:id="102466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ccountingtools.com/questions-and-answers/what-are-retained-earnings.htm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Grant Thornton">
  <a:themeElements>
    <a:clrScheme name="Grant Thornton">
      <a:dk1>
        <a:sysClr val="windowText" lastClr="000000"/>
      </a:dk1>
      <a:lt1>
        <a:sysClr val="window" lastClr="FFFFFF"/>
      </a:lt1>
      <a:dk2>
        <a:srgbClr val="824BB0"/>
      </a:dk2>
      <a:lt2>
        <a:srgbClr val="747678"/>
      </a:lt2>
      <a:accent1>
        <a:srgbClr val="4F2D7F"/>
      </a:accent1>
      <a:accent2>
        <a:srgbClr val="C30045"/>
      </a:accent2>
      <a:accent3>
        <a:srgbClr val="B1059D"/>
      </a:accent3>
      <a:accent4>
        <a:srgbClr val="006D55"/>
      </a:accent4>
      <a:accent5>
        <a:srgbClr val="7AB800"/>
      </a:accent5>
      <a:accent6>
        <a:srgbClr val="FF7900"/>
      </a:accent6>
      <a:hlink>
        <a:srgbClr val="0000FF"/>
      </a:hlink>
      <a:folHlink>
        <a:srgbClr val="800080"/>
      </a:folHlink>
    </a:clrScheme>
    <a:fontScheme name="Grant Thornton">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Purple">
      <a:srgbClr val="4F2D7F"/>
    </a:custClr>
    <a:custClr name="Green">
      <a:srgbClr val="009B76"/>
    </a:custClr>
    <a:custClr name="Orange">
      <a:srgbClr val="FF7900"/>
    </a:custClr>
    <a:custClr name="Red">
      <a:srgbClr val="C30045"/>
    </a:custClr>
    <a:custClr name="Fuchsia">
      <a:srgbClr val="B1059D"/>
    </a:custClr>
    <a:custClr name="Lavender">
      <a:srgbClr val="824BB0"/>
    </a:custClr>
    <a:custClr name="Yellow">
      <a:srgbClr val="FECB00"/>
    </a:custClr>
    <a:custClr name="Mustard">
      <a:srgbClr val="EAAB00"/>
    </a:custClr>
    <a:custClr name="Terracotta">
      <a:srgbClr val="C75B12"/>
    </a:custClr>
    <a:custClr name="Burgundy">
      <a:srgbClr val="882345"/>
    </a:custClr>
    <a:custClr name="Blue">
      <a:srgbClr val="0046AD"/>
    </a:custClr>
    <a:custClr name="Emerald">
      <a:srgbClr val="006D55"/>
    </a:custClr>
    <a:custClr name="Lime">
      <a:srgbClr val="7AB800"/>
    </a:custClr>
    <a:custClr name="Olive">
      <a:srgbClr val="8E9300"/>
    </a:custClr>
    <a:custClr name="Steel">
      <a:srgbClr val="747678"/>
    </a:custClr>
    <a:custClr name="Black">
      <a:srgbClr val="0000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E82087E242F841BB29673BD29AE555" ma:contentTypeVersion="0" ma:contentTypeDescription="Create a new document." ma:contentTypeScope="" ma:versionID="e4165a4f357fba904bde472d6b6314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1ACBB-3000-403C-8D44-6491E5A36A36}">
  <ds:schemaRef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540CC440-B237-4803-B44E-D84CED97CCA6}">
  <ds:schemaRefs>
    <ds:schemaRef ds:uri="http://schemas.microsoft.com/sharepoint/v3/contenttype/forms"/>
  </ds:schemaRefs>
</ds:datastoreItem>
</file>

<file path=customXml/itemProps3.xml><?xml version="1.0" encoding="utf-8"?>
<ds:datastoreItem xmlns:ds="http://schemas.openxmlformats.org/officeDocument/2006/customXml" ds:itemID="{04A90A3C-9A14-4727-BC79-5A80E9D866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6BCE3DA-E422-4C05-98FA-CABCE0E49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967</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Grant Thornton LLP</Company>
  <LinksUpToDate>false</LinksUpToDate>
  <CharactersWithSpaces>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Susannah</dc:creator>
  <cp:keywords/>
  <dc:description/>
  <cp:lastModifiedBy>Curtis, Michael R CIV OSD OUSD P-R (US)</cp:lastModifiedBy>
  <cp:revision>2</cp:revision>
  <cp:lastPrinted>2014-10-08T16:47:00Z</cp:lastPrinted>
  <dcterms:created xsi:type="dcterms:W3CDTF">2019-08-20T20:00:00Z</dcterms:created>
  <dcterms:modified xsi:type="dcterms:W3CDTF">2019-08-20T20:00:00Z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0x01010071E82087E242F841BB29673BD29AE555</vt:lpwstr>
  </property>
</Properties>
</file>