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1B8C16" w14:textId="77777777" w:rsidR="00A868E1" w:rsidRDefault="00ED2634" w:rsidP="002F6648">
      <w:pPr>
        <w:pStyle w:val="Heading1"/>
        <w:tabs>
          <w:tab w:val="left" w:pos="6675"/>
        </w:tabs>
        <w:ind w:left="-2160" w:firstLine="180"/>
      </w:pPr>
      <w:bookmarkStart w:id="0" w:name="_GoBack"/>
      <w:bookmarkEnd w:id="0"/>
      <w:r>
        <w:rPr>
          <w:sz w:val="24"/>
        </w:rPr>
        <w:t xml:space="preserve">Issue </w:t>
      </w:r>
      <w:r w:rsidR="00D0530D">
        <w:rPr>
          <w:sz w:val="24"/>
        </w:rPr>
        <w:tab/>
      </w:r>
    </w:p>
    <w:p w14:paraId="121B8C17" w14:textId="3902578A" w:rsidR="005D3273" w:rsidRDefault="00F87777" w:rsidP="0065297E">
      <w:pPr>
        <w:tabs>
          <w:tab w:val="left" w:pos="9912"/>
        </w:tabs>
        <w:ind w:left="-810"/>
        <w:rPr>
          <w:sz w:val="24"/>
        </w:rPr>
      </w:pPr>
      <w:r>
        <w:rPr>
          <w:sz w:val="24"/>
        </w:rPr>
        <w:t>In-kind donations of assets are infrequent and usually immaterial to the financial statements. As such,</w:t>
      </w:r>
      <w:r w:rsidR="006E52F9">
        <w:rPr>
          <w:sz w:val="24"/>
        </w:rPr>
        <w:t xml:space="preserve"> the Services are not clear on the current policies in place addressing this issue, or how those policies reconcile with GAAP standards. </w:t>
      </w:r>
    </w:p>
    <w:p w14:paraId="121B8C18" w14:textId="77777777" w:rsidR="002479EF" w:rsidRDefault="0065297E" w:rsidP="0065297E">
      <w:pPr>
        <w:tabs>
          <w:tab w:val="left" w:pos="9912"/>
        </w:tabs>
        <w:ind w:left="-810"/>
        <w:rPr>
          <w:sz w:val="24"/>
        </w:rPr>
      </w:pPr>
      <w:r>
        <w:rPr>
          <w:sz w:val="24"/>
        </w:rPr>
        <w:tab/>
      </w:r>
    </w:p>
    <w:p w14:paraId="121B8C19" w14:textId="77777777" w:rsidR="002479EF" w:rsidRDefault="002479EF" w:rsidP="002479EF">
      <w:pPr>
        <w:pStyle w:val="Heading1"/>
        <w:tabs>
          <w:tab w:val="left" w:pos="6675"/>
        </w:tabs>
        <w:ind w:left="-2160" w:firstLine="180"/>
        <w:rPr>
          <w:sz w:val="24"/>
        </w:rPr>
      </w:pPr>
      <w:r>
        <w:rPr>
          <w:sz w:val="24"/>
        </w:rPr>
        <w:t>Research</w:t>
      </w:r>
    </w:p>
    <w:p w14:paraId="121B8C1A" w14:textId="4C13C8CA" w:rsidR="002479EF" w:rsidRDefault="002479EF" w:rsidP="002479EF">
      <w:pPr>
        <w:ind w:left="-810"/>
        <w:rPr>
          <w:sz w:val="24"/>
        </w:rPr>
      </w:pPr>
      <w:r w:rsidRPr="00AC1516">
        <w:rPr>
          <w:sz w:val="24"/>
        </w:rPr>
        <w:t xml:space="preserve">Below outlines the </w:t>
      </w:r>
      <w:r w:rsidR="00AC1516" w:rsidRPr="00AC1516">
        <w:rPr>
          <w:sz w:val="24"/>
        </w:rPr>
        <w:t xml:space="preserve">current treatment of Donations In-Kind by each Service and the guidance based on regulations, accounting guidance and industry standards for this area. </w:t>
      </w:r>
    </w:p>
    <w:p w14:paraId="121B8C1B" w14:textId="77777777" w:rsidR="00ED6A35" w:rsidRDefault="002479EF" w:rsidP="002479EF">
      <w:pPr>
        <w:ind w:left="-810"/>
        <w:rPr>
          <w:sz w:val="24"/>
        </w:rPr>
      </w:pPr>
      <w:r>
        <w:rPr>
          <w:sz w:val="24"/>
        </w:rPr>
        <w:t xml:space="preserve"> </w:t>
      </w:r>
    </w:p>
    <w:tbl>
      <w:tblPr>
        <w:tblStyle w:val="GridTable4"/>
        <w:tblpPr w:leftFromText="180" w:rightFromText="180" w:vertAnchor="text" w:horzAnchor="page" w:tblpXSpec="center" w:tblpY="151"/>
        <w:tblW w:w="15205" w:type="dxa"/>
        <w:tblLayout w:type="fixed"/>
        <w:tblLook w:val="04A0" w:firstRow="1" w:lastRow="0" w:firstColumn="1" w:lastColumn="0" w:noHBand="0" w:noVBand="1"/>
      </w:tblPr>
      <w:tblGrid>
        <w:gridCol w:w="5755"/>
        <w:gridCol w:w="3060"/>
        <w:gridCol w:w="2155"/>
        <w:gridCol w:w="2165"/>
        <w:gridCol w:w="2070"/>
      </w:tblGrid>
      <w:tr w:rsidR="00ED2634" w:rsidRPr="0076168A" w14:paraId="121B8C21" w14:textId="77777777" w:rsidTr="00555046">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5755" w:type="dxa"/>
          </w:tcPr>
          <w:p w14:paraId="121B8C1C" w14:textId="1FA0929F" w:rsidR="00ED2634" w:rsidRPr="0076168A" w:rsidRDefault="00576CA4" w:rsidP="00576CA4">
            <w:pPr>
              <w:jc w:val="center"/>
              <w:rPr>
                <w:rFonts w:asciiTheme="minorHAnsi" w:hAnsiTheme="minorHAnsi" w:cs="Times New Roman"/>
                <w:sz w:val="28"/>
                <w:szCs w:val="28"/>
              </w:rPr>
            </w:pPr>
            <w:r>
              <w:rPr>
                <w:rFonts w:asciiTheme="minorHAnsi" w:hAnsiTheme="minorHAnsi" w:cs="Times New Roman"/>
                <w:sz w:val="28"/>
                <w:szCs w:val="28"/>
              </w:rPr>
              <w:t>Donations In-Kind</w:t>
            </w:r>
            <w:r w:rsidR="00BB10C9">
              <w:rPr>
                <w:rFonts w:asciiTheme="minorHAnsi" w:hAnsiTheme="minorHAnsi" w:cs="Times New Roman"/>
                <w:sz w:val="28"/>
                <w:szCs w:val="28"/>
              </w:rPr>
              <w:t xml:space="preserve"> Treatment and Guidance</w:t>
            </w:r>
          </w:p>
        </w:tc>
        <w:tc>
          <w:tcPr>
            <w:tcW w:w="3060" w:type="dxa"/>
          </w:tcPr>
          <w:p w14:paraId="121B8C1D" w14:textId="77777777" w:rsidR="00ED2634" w:rsidRPr="0076168A" w:rsidRDefault="00ED2634" w:rsidP="00ED2634">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imes New Roman"/>
                <w:sz w:val="28"/>
                <w:szCs w:val="28"/>
              </w:rPr>
            </w:pPr>
            <w:r w:rsidRPr="0076168A">
              <w:rPr>
                <w:rFonts w:asciiTheme="minorHAnsi" w:hAnsiTheme="minorHAnsi" w:cs="Times New Roman"/>
                <w:sz w:val="28"/>
                <w:szCs w:val="28"/>
              </w:rPr>
              <w:t>Air Force</w:t>
            </w:r>
          </w:p>
        </w:tc>
        <w:tc>
          <w:tcPr>
            <w:tcW w:w="2155" w:type="dxa"/>
          </w:tcPr>
          <w:p w14:paraId="121B8C1E" w14:textId="77777777" w:rsidR="00ED2634" w:rsidRPr="0076168A" w:rsidRDefault="00ED2634" w:rsidP="00ED2634">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imes New Roman"/>
                <w:sz w:val="28"/>
                <w:szCs w:val="28"/>
              </w:rPr>
            </w:pPr>
            <w:r w:rsidRPr="0076168A">
              <w:rPr>
                <w:rFonts w:asciiTheme="minorHAnsi" w:hAnsiTheme="minorHAnsi" w:cs="Times New Roman"/>
                <w:sz w:val="28"/>
                <w:szCs w:val="28"/>
              </w:rPr>
              <w:t>Army</w:t>
            </w:r>
          </w:p>
        </w:tc>
        <w:tc>
          <w:tcPr>
            <w:tcW w:w="2165" w:type="dxa"/>
          </w:tcPr>
          <w:p w14:paraId="121B8C1F" w14:textId="77777777" w:rsidR="00ED2634" w:rsidRPr="0076168A" w:rsidRDefault="00ED2634" w:rsidP="00ED2634">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imes New Roman"/>
                <w:sz w:val="28"/>
                <w:szCs w:val="28"/>
              </w:rPr>
            </w:pPr>
            <w:r w:rsidRPr="0076168A">
              <w:rPr>
                <w:rFonts w:asciiTheme="minorHAnsi" w:hAnsiTheme="minorHAnsi" w:cs="Times New Roman"/>
                <w:sz w:val="28"/>
                <w:szCs w:val="28"/>
              </w:rPr>
              <w:t>Marines</w:t>
            </w:r>
          </w:p>
        </w:tc>
        <w:tc>
          <w:tcPr>
            <w:tcW w:w="2070" w:type="dxa"/>
          </w:tcPr>
          <w:p w14:paraId="121B8C20" w14:textId="77777777" w:rsidR="00ED2634" w:rsidRPr="0076168A" w:rsidRDefault="00ED2634" w:rsidP="00ED2634">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imes New Roman"/>
                <w:sz w:val="28"/>
                <w:szCs w:val="28"/>
              </w:rPr>
            </w:pPr>
            <w:r w:rsidRPr="0076168A">
              <w:rPr>
                <w:rFonts w:asciiTheme="minorHAnsi" w:hAnsiTheme="minorHAnsi" w:cs="Times New Roman"/>
                <w:sz w:val="28"/>
                <w:szCs w:val="28"/>
              </w:rPr>
              <w:t>Navy</w:t>
            </w:r>
          </w:p>
        </w:tc>
      </w:tr>
      <w:tr w:rsidR="00ED2634" w:rsidRPr="0076168A" w14:paraId="121B8C27" w14:textId="77777777" w:rsidTr="005550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55" w:type="dxa"/>
          </w:tcPr>
          <w:p w14:paraId="121B8C22" w14:textId="78FD7E9F" w:rsidR="00ED2634" w:rsidRPr="0076168A" w:rsidRDefault="00CB1972" w:rsidP="00576CA4">
            <w:pPr>
              <w:rPr>
                <w:rFonts w:asciiTheme="minorHAnsi" w:hAnsiTheme="minorHAnsi" w:cs="Times New Roman"/>
                <w:sz w:val="24"/>
                <w:szCs w:val="24"/>
              </w:rPr>
            </w:pPr>
            <w:r>
              <w:rPr>
                <w:rFonts w:asciiTheme="minorHAnsi" w:hAnsiTheme="minorHAnsi" w:cs="Times New Roman"/>
                <w:sz w:val="24"/>
                <w:szCs w:val="24"/>
              </w:rPr>
              <w:t xml:space="preserve">Current </w:t>
            </w:r>
            <w:r w:rsidR="003A1F25">
              <w:rPr>
                <w:rFonts w:asciiTheme="minorHAnsi" w:hAnsiTheme="minorHAnsi" w:cs="Times New Roman"/>
                <w:sz w:val="24"/>
                <w:szCs w:val="24"/>
              </w:rPr>
              <w:t xml:space="preserve">Treatment of </w:t>
            </w:r>
            <w:r w:rsidR="00576CA4">
              <w:rPr>
                <w:rFonts w:asciiTheme="minorHAnsi" w:hAnsiTheme="minorHAnsi" w:cs="Times New Roman"/>
                <w:sz w:val="24"/>
                <w:szCs w:val="24"/>
              </w:rPr>
              <w:t>Donations In-Kind</w:t>
            </w:r>
          </w:p>
        </w:tc>
        <w:tc>
          <w:tcPr>
            <w:tcW w:w="3060" w:type="dxa"/>
          </w:tcPr>
          <w:p w14:paraId="7F6F1E3E" w14:textId="627AFE54" w:rsidR="00ED2634" w:rsidRDefault="00CC0A8E" w:rsidP="005D3273">
            <w:pP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4"/>
                <w:szCs w:val="24"/>
              </w:rPr>
            </w:pPr>
            <w:r>
              <w:rPr>
                <w:rFonts w:asciiTheme="minorHAnsi" w:hAnsiTheme="minorHAnsi" w:cs="Times New Roman"/>
                <w:sz w:val="24"/>
                <w:szCs w:val="24"/>
              </w:rPr>
              <w:t xml:space="preserve">Internal </w:t>
            </w:r>
            <w:r w:rsidR="00576CA4">
              <w:rPr>
                <w:rFonts w:asciiTheme="minorHAnsi" w:hAnsiTheme="minorHAnsi" w:cs="Times New Roman"/>
                <w:sz w:val="24"/>
                <w:szCs w:val="24"/>
              </w:rPr>
              <w:t>policy for assign</w:t>
            </w:r>
            <w:r>
              <w:rPr>
                <w:rFonts w:asciiTheme="minorHAnsi" w:hAnsiTheme="minorHAnsi" w:cs="Times New Roman"/>
                <w:sz w:val="24"/>
                <w:szCs w:val="24"/>
              </w:rPr>
              <w:t xml:space="preserve">ing fair market value (FMV) </w:t>
            </w:r>
            <w:r w:rsidR="00576CA4">
              <w:rPr>
                <w:rFonts w:asciiTheme="minorHAnsi" w:hAnsiTheme="minorHAnsi" w:cs="Times New Roman"/>
                <w:sz w:val="24"/>
                <w:szCs w:val="24"/>
              </w:rPr>
              <w:t>to donated assets and recording revenue.</w:t>
            </w:r>
          </w:p>
          <w:p w14:paraId="58A3F09E" w14:textId="77777777" w:rsidR="00555046" w:rsidRDefault="00555046" w:rsidP="00CC0A8E">
            <w:pP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b/>
                <w:sz w:val="24"/>
                <w:szCs w:val="24"/>
                <w:u w:val="single"/>
              </w:rPr>
            </w:pPr>
          </w:p>
          <w:p w14:paraId="2C913DA8" w14:textId="015735CE" w:rsidR="00555046" w:rsidRDefault="00555046" w:rsidP="00CC0A8E">
            <w:pP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b/>
                <w:sz w:val="24"/>
                <w:szCs w:val="24"/>
                <w:u w:val="single"/>
              </w:rPr>
            </w:pPr>
            <w:r>
              <w:rPr>
                <w:rFonts w:asciiTheme="minorHAnsi" w:hAnsiTheme="minorHAnsi" w:cs="Times New Roman"/>
                <w:b/>
                <w:sz w:val="24"/>
                <w:szCs w:val="24"/>
                <w:u w:val="single"/>
              </w:rPr>
              <w:t>AFI 34-20</w:t>
            </w:r>
            <w:r w:rsidR="00C914BC">
              <w:rPr>
                <w:rFonts w:asciiTheme="minorHAnsi" w:hAnsiTheme="minorHAnsi" w:cs="Times New Roman"/>
                <w:b/>
                <w:sz w:val="24"/>
                <w:szCs w:val="24"/>
                <w:u w:val="single"/>
              </w:rPr>
              <w:t>9</w:t>
            </w:r>
          </w:p>
          <w:p w14:paraId="1058B5AD" w14:textId="5C4E8565" w:rsidR="00C914BC" w:rsidRDefault="00C914BC" w:rsidP="00CC0A8E">
            <w:pP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b/>
                <w:sz w:val="24"/>
                <w:szCs w:val="24"/>
                <w:u w:val="single"/>
              </w:rPr>
            </w:pPr>
            <w:r>
              <w:rPr>
                <w:rFonts w:asciiTheme="minorHAnsi" w:hAnsiTheme="minorHAnsi" w:cs="Times New Roman"/>
                <w:b/>
                <w:sz w:val="24"/>
                <w:szCs w:val="24"/>
                <w:u w:val="single"/>
              </w:rPr>
              <w:t>Section 5.2.2.2</w:t>
            </w:r>
          </w:p>
          <w:p w14:paraId="24037B94" w14:textId="77777777" w:rsidR="00555046" w:rsidRDefault="00555046" w:rsidP="00CC0A8E">
            <w:pP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b/>
                <w:sz w:val="24"/>
                <w:szCs w:val="24"/>
                <w:u w:val="single"/>
              </w:rPr>
            </w:pPr>
          </w:p>
          <w:p w14:paraId="53FDA89A" w14:textId="03321D2D" w:rsidR="00E955AC" w:rsidRPr="00CC0A8E" w:rsidRDefault="00C914BC" w:rsidP="00CC0A8E">
            <w:pP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4"/>
                <w:szCs w:val="24"/>
              </w:rPr>
            </w:pPr>
            <w:r>
              <w:rPr>
                <w:rFonts w:asciiTheme="minorHAnsi" w:hAnsiTheme="minorHAnsi" w:cs="Times New Roman"/>
                <w:b/>
                <w:sz w:val="24"/>
                <w:szCs w:val="24"/>
                <w:u w:val="single"/>
              </w:rPr>
              <w:t>“Donations</w:t>
            </w:r>
            <w:r>
              <w:rPr>
                <w:rFonts w:asciiTheme="minorHAnsi" w:hAnsiTheme="minorHAnsi" w:cs="Times New Roman"/>
                <w:sz w:val="24"/>
                <w:szCs w:val="24"/>
              </w:rPr>
              <w:t xml:space="preserve">: The NAFI acquires donated property at no expense from a source other than another AF NAFI. The NAFI accepts donations as specified in AFI 34-201. The RMFC and activity manager, with the assistance of the DRMO or SCO, determine the fair market value of the donation.  The NAF AO posts donated property at fair market value. If the donation qualifies as a fixed asset, post it as an asset </w:t>
            </w:r>
            <w:r>
              <w:rPr>
                <w:rFonts w:asciiTheme="minorHAnsi" w:hAnsiTheme="minorHAnsi" w:cs="Times New Roman"/>
                <w:sz w:val="24"/>
                <w:szCs w:val="24"/>
              </w:rPr>
              <w:lastRenderedPageBreak/>
              <w:t>in the financial records and depreciate it over its useful life.”</w:t>
            </w:r>
          </w:p>
          <w:p w14:paraId="7FB8829C" w14:textId="2B400E7D" w:rsidR="00C914BC" w:rsidRPr="00E955AC" w:rsidRDefault="00C914BC" w:rsidP="00C914BC">
            <w:pP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4"/>
                <w:szCs w:val="24"/>
              </w:rPr>
            </w:pPr>
          </w:p>
          <w:p w14:paraId="121B8C23" w14:textId="235B3BC0" w:rsidR="00E955AC" w:rsidRPr="00E955AC" w:rsidRDefault="00E955AC" w:rsidP="00CC0A8E">
            <w:pP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4"/>
                <w:szCs w:val="24"/>
              </w:rPr>
            </w:pPr>
          </w:p>
        </w:tc>
        <w:tc>
          <w:tcPr>
            <w:tcW w:w="2155" w:type="dxa"/>
          </w:tcPr>
          <w:p w14:paraId="121B8C24" w14:textId="25D241E5" w:rsidR="00ED2634" w:rsidRPr="00F87777" w:rsidRDefault="00576CA4" w:rsidP="00ED2634">
            <w:pPr>
              <w:cnfStyle w:val="000000100000" w:firstRow="0" w:lastRow="0" w:firstColumn="0" w:lastColumn="0" w:oddVBand="0" w:evenVBand="0" w:oddHBand="1" w:evenHBand="0" w:firstRowFirstColumn="0" w:firstRowLastColumn="0" w:lastRowFirstColumn="0" w:lastRowLastColumn="0"/>
              <w:rPr>
                <w:sz w:val="24"/>
                <w:szCs w:val="24"/>
              </w:rPr>
            </w:pPr>
            <w:r w:rsidRPr="00F87777">
              <w:rPr>
                <w:sz w:val="24"/>
                <w:szCs w:val="24"/>
              </w:rPr>
              <w:lastRenderedPageBreak/>
              <w:t>Does not have donations in-kind reflected on the financial statements</w:t>
            </w:r>
            <w:r w:rsidR="00A33B17" w:rsidRPr="00F87777">
              <w:rPr>
                <w:sz w:val="24"/>
                <w:szCs w:val="24"/>
              </w:rPr>
              <w:t>.</w:t>
            </w:r>
          </w:p>
        </w:tc>
        <w:tc>
          <w:tcPr>
            <w:tcW w:w="2165" w:type="dxa"/>
          </w:tcPr>
          <w:p w14:paraId="3A0D59D4" w14:textId="77777777" w:rsidR="0066365E" w:rsidRPr="00F87777" w:rsidRDefault="0066365E" w:rsidP="0066365E">
            <w:pPr>
              <w:cnfStyle w:val="000000100000" w:firstRow="0" w:lastRow="0" w:firstColumn="0" w:lastColumn="0" w:oddVBand="0" w:evenVBand="0" w:oddHBand="1" w:evenHBand="0" w:firstRowFirstColumn="0" w:firstRowLastColumn="0" w:lastRowFirstColumn="0" w:lastRowLastColumn="0"/>
              <w:rPr>
                <w:sz w:val="24"/>
                <w:szCs w:val="24"/>
              </w:rPr>
            </w:pPr>
            <w:r w:rsidRPr="00F87777">
              <w:rPr>
                <w:sz w:val="24"/>
                <w:szCs w:val="24"/>
              </w:rPr>
              <w:t>Under Secretary of Navy Instruction 4001.2K:</w:t>
            </w:r>
          </w:p>
          <w:p w14:paraId="6DEA828B" w14:textId="77777777" w:rsidR="0066365E" w:rsidRPr="00F87777" w:rsidRDefault="0066365E" w:rsidP="0066365E">
            <w:pPr>
              <w:cnfStyle w:val="000000100000" w:firstRow="0" w:lastRow="0" w:firstColumn="0" w:lastColumn="0" w:oddVBand="0" w:evenVBand="0" w:oddHBand="1" w:evenHBand="0" w:firstRowFirstColumn="0" w:firstRowLastColumn="0" w:lastRowFirstColumn="0" w:lastRowLastColumn="0"/>
              <w:rPr>
                <w:sz w:val="24"/>
                <w:szCs w:val="24"/>
              </w:rPr>
            </w:pPr>
          </w:p>
          <w:p w14:paraId="310881EF" w14:textId="6333FF98" w:rsidR="0066365E" w:rsidRPr="00F87777" w:rsidRDefault="0066365E" w:rsidP="0066365E">
            <w:pPr>
              <w:cnfStyle w:val="000000100000" w:firstRow="0" w:lastRow="0" w:firstColumn="0" w:lastColumn="0" w:oddVBand="0" w:evenVBand="0" w:oddHBand="1" w:evenHBand="0" w:firstRowFirstColumn="0" w:firstRowLastColumn="0" w:lastRowFirstColumn="0" w:lastRowLastColumn="0"/>
              <w:rPr>
                <w:sz w:val="24"/>
                <w:szCs w:val="24"/>
              </w:rPr>
            </w:pPr>
            <w:r w:rsidRPr="00F87777">
              <w:rPr>
                <w:sz w:val="24"/>
                <w:szCs w:val="24"/>
              </w:rPr>
              <w:t>“Responsibilities: Section 3.j.6.(a)</w:t>
            </w:r>
            <w:r w:rsidRPr="00F87777">
              <w:rPr>
                <w:sz w:val="24"/>
                <w:szCs w:val="24"/>
              </w:rPr>
              <w:br/>
              <w:t xml:space="preserve">In order to be eligible for acknowledgement or acceptance, offers of real property must contain sufficient design information….for a Business Case Analysis” </w:t>
            </w:r>
          </w:p>
          <w:p w14:paraId="37F7F917" w14:textId="77777777" w:rsidR="0066365E" w:rsidRPr="00F87777" w:rsidRDefault="0066365E" w:rsidP="0066365E">
            <w:pPr>
              <w:cnfStyle w:val="000000100000" w:firstRow="0" w:lastRow="0" w:firstColumn="0" w:lastColumn="0" w:oddVBand="0" w:evenVBand="0" w:oddHBand="1" w:evenHBand="0" w:firstRowFirstColumn="0" w:firstRowLastColumn="0" w:lastRowFirstColumn="0" w:lastRowLastColumn="0"/>
              <w:rPr>
                <w:sz w:val="24"/>
                <w:szCs w:val="24"/>
              </w:rPr>
            </w:pPr>
          </w:p>
          <w:p w14:paraId="2E9826FB" w14:textId="65D2A202" w:rsidR="0066365E" w:rsidRPr="00F87777" w:rsidRDefault="0066365E" w:rsidP="0066365E">
            <w:pPr>
              <w:cnfStyle w:val="000000100000" w:firstRow="0" w:lastRow="0" w:firstColumn="0" w:lastColumn="0" w:oddVBand="0" w:evenVBand="0" w:oddHBand="1" w:evenHBand="0" w:firstRowFirstColumn="0" w:firstRowLastColumn="0" w:lastRowFirstColumn="0" w:lastRowLastColumn="0"/>
              <w:rPr>
                <w:sz w:val="24"/>
                <w:szCs w:val="24"/>
              </w:rPr>
            </w:pPr>
            <w:r w:rsidRPr="00F87777">
              <w:rPr>
                <w:sz w:val="24"/>
                <w:szCs w:val="24"/>
              </w:rPr>
              <w:t>Section 3.j.6</w:t>
            </w:r>
            <w:r w:rsidR="00F87777" w:rsidRPr="00F87777">
              <w:rPr>
                <w:sz w:val="24"/>
                <w:szCs w:val="24"/>
              </w:rPr>
              <w:t>. (</w:t>
            </w:r>
            <w:r w:rsidRPr="00F87777">
              <w:rPr>
                <w:sz w:val="24"/>
                <w:szCs w:val="24"/>
              </w:rPr>
              <w:t>b).”Specific items that must be addressed in the BCA include:…</w:t>
            </w:r>
          </w:p>
          <w:p w14:paraId="6EDF8EC2" w14:textId="14EE2D6A" w:rsidR="0066365E" w:rsidRPr="00F87777" w:rsidRDefault="0066365E" w:rsidP="0066365E">
            <w:pPr>
              <w:cnfStyle w:val="000000100000" w:firstRow="0" w:lastRow="0" w:firstColumn="0" w:lastColumn="0" w:oddVBand="0" w:evenVBand="0" w:oddHBand="1" w:evenHBand="0" w:firstRowFirstColumn="0" w:firstRowLastColumn="0" w:lastRowFirstColumn="0" w:lastRowLastColumn="0"/>
              <w:rPr>
                <w:sz w:val="24"/>
                <w:szCs w:val="24"/>
              </w:rPr>
            </w:pPr>
            <w:r w:rsidRPr="00F87777">
              <w:rPr>
                <w:sz w:val="24"/>
                <w:szCs w:val="24"/>
              </w:rPr>
              <w:lastRenderedPageBreak/>
              <w:t xml:space="preserve">7. “The approximate current fair market value of the gift.” </w:t>
            </w:r>
          </w:p>
          <w:p w14:paraId="1050FD39" w14:textId="77777777" w:rsidR="0066365E" w:rsidRDefault="0066365E" w:rsidP="0066365E">
            <w:pPr>
              <w:cnfStyle w:val="000000100000" w:firstRow="0" w:lastRow="0" w:firstColumn="0" w:lastColumn="0" w:oddVBand="0" w:evenVBand="0" w:oddHBand="1" w:evenHBand="0" w:firstRowFirstColumn="0" w:firstRowLastColumn="0" w:lastRowFirstColumn="0" w:lastRowLastColumn="0"/>
            </w:pPr>
          </w:p>
          <w:p w14:paraId="0E0F32A6" w14:textId="6D4745AD" w:rsidR="0066365E" w:rsidRPr="00F87777" w:rsidRDefault="00555046" w:rsidP="0066365E">
            <w:pPr>
              <w:cnfStyle w:val="000000100000" w:firstRow="0" w:lastRow="0" w:firstColumn="0" w:lastColumn="0" w:oddVBand="0" w:evenVBand="0" w:oddHBand="1" w:evenHBand="0" w:firstRowFirstColumn="0" w:firstRowLastColumn="0" w:lastRowFirstColumn="0" w:lastRowLastColumn="0"/>
              <w:rPr>
                <w:sz w:val="24"/>
                <w:szCs w:val="24"/>
              </w:rPr>
            </w:pPr>
            <w:r w:rsidRPr="00F87777">
              <w:rPr>
                <w:sz w:val="24"/>
                <w:szCs w:val="24"/>
              </w:rPr>
              <w:t>Section 3.k “All gifts of money or securities accepted shall be depo</w:t>
            </w:r>
            <w:r w:rsidR="00F87777" w:rsidRPr="00F87777">
              <w:rPr>
                <w:sz w:val="24"/>
                <w:szCs w:val="24"/>
              </w:rPr>
              <w:t>sit</w:t>
            </w:r>
            <w:r w:rsidRPr="00F87777">
              <w:rPr>
                <w:sz w:val="24"/>
                <w:szCs w:val="24"/>
              </w:rPr>
              <w:t>ed into the Navy General Gift Fund. (NGGF)”</w:t>
            </w:r>
          </w:p>
          <w:p w14:paraId="59CB1269" w14:textId="77777777" w:rsidR="00555046" w:rsidRPr="00F87777" w:rsidRDefault="00555046" w:rsidP="0066365E">
            <w:pPr>
              <w:cnfStyle w:val="000000100000" w:firstRow="0" w:lastRow="0" w:firstColumn="0" w:lastColumn="0" w:oddVBand="0" w:evenVBand="0" w:oddHBand="1" w:evenHBand="0" w:firstRowFirstColumn="0" w:firstRowLastColumn="0" w:lastRowFirstColumn="0" w:lastRowLastColumn="0"/>
              <w:rPr>
                <w:sz w:val="24"/>
                <w:szCs w:val="24"/>
              </w:rPr>
            </w:pPr>
          </w:p>
          <w:p w14:paraId="07F58486" w14:textId="0E6FA9B4" w:rsidR="00555046" w:rsidRPr="00F87777" w:rsidRDefault="00555046" w:rsidP="00555046">
            <w:pPr>
              <w:cnfStyle w:val="000000100000" w:firstRow="0" w:lastRow="0" w:firstColumn="0" w:lastColumn="0" w:oddVBand="0" w:evenVBand="0" w:oddHBand="1" w:evenHBand="0" w:firstRowFirstColumn="0" w:firstRowLastColumn="0" w:lastRowFirstColumn="0" w:lastRowLastColumn="0"/>
              <w:rPr>
                <w:sz w:val="24"/>
                <w:szCs w:val="24"/>
              </w:rPr>
            </w:pPr>
            <w:r w:rsidRPr="00F87777">
              <w:rPr>
                <w:sz w:val="24"/>
                <w:szCs w:val="24"/>
              </w:rPr>
              <w:t>Section 3.k.4 “Activities may not execute funds until DON/AA verifies proper acceptance, verifies deposit into NGGF, and issues a fund allotment.”</w:t>
            </w:r>
          </w:p>
          <w:p w14:paraId="5E8E3AF5" w14:textId="77777777" w:rsidR="00555046" w:rsidRDefault="00555046" w:rsidP="0066365E">
            <w:pPr>
              <w:cnfStyle w:val="000000100000" w:firstRow="0" w:lastRow="0" w:firstColumn="0" w:lastColumn="0" w:oddVBand="0" w:evenVBand="0" w:oddHBand="1" w:evenHBand="0" w:firstRowFirstColumn="0" w:firstRowLastColumn="0" w:lastRowFirstColumn="0" w:lastRowLastColumn="0"/>
            </w:pPr>
          </w:p>
          <w:p w14:paraId="121B8C25" w14:textId="41888D0E" w:rsidR="00ED2634" w:rsidRDefault="00ED2634" w:rsidP="0066365E">
            <w:pPr>
              <w:cnfStyle w:val="000000100000" w:firstRow="0" w:lastRow="0" w:firstColumn="0" w:lastColumn="0" w:oddVBand="0" w:evenVBand="0" w:oddHBand="1" w:evenHBand="0" w:firstRowFirstColumn="0" w:firstRowLastColumn="0" w:lastRowFirstColumn="0" w:lastRowLastColumn="0"/>
            </w:pPr>
          </w:p>
        </w:tc>
        <w:tc>
          <w:tcPr>
            <w:tcW w:w="2070" w:type="dxa"/>
          </w:tcPr>
          <w:p w14:paraId="589EEF61" w14:textId="77777777" w:rsidR="0066365E" w:rsidRPr="00F87777" w:rsidRDefault="0066365E" w:rsidP="00ED2634">
            <w:pPr>
              <w:cnfStyle w:val="000000100000" w:firstRow="0" w:lastRow="0" w:firstColumn="0" w:lastColumn="0" w:oddVBand="0" w:evenVBand="0" w:oddHBand="1" w:evenHBand="0" w:firstRowFirstColumn="0" w:firstRowLastColumn="0" w:lastRowFirstColumn="0" w:lastRowLastColumn="0"/>
              <w:rPr>
                <w:sz w:val="24"/>
                <w:szCs w:val="24"/>
              </w:rPr>
            </w:pPr>
            <w:r w:rsidRPr="00F87777">
              <w:rPr>
                <w:sz w:val="24"/>
                <w:szCs w:val="24"/>
              </w:rPr>
              <w:lastRenderedPageBreak/>
              <w:t>Under Secretary of Navy Instruction 4001.2K:</w:t>
            </w:r>
          </w:p>
          <w:p w14:paraId="402837FE" w14:textId="77777777" w:rsidR="0066365E" w:rsidRPr="00F87777" w:rsidRDefault="0066365E" w:rsidP="00ED2634">
            <w:pPr>
              <w:cnfStyle w:val="000000100000" w:firstRow="0" w:lastRow="0" w:firstColumn="0" w:lastColumn="0" w:oddVBand="0" w:evenVBand="0" w:oddHBand="1" w:evenHBand="0" w:firstRowFirstColumn="0" w:firstRowLastColumn="0" w:lastRowFirstColumn="0" w:lastRowLastColumn="0"/>
              <w:rPr>
                <w:sz w:val="24"/>
                <w:szCs w:val="24"/>
              </w:rPr>
            </w:pPr>
          </w:p>
          <w:p w14:paraId="38BB1BAF" w14:textId="77777777" w:rsidR="00555046" w:rsidRPr="00F87777" w:rsidRDefault="00555046" w:rsidP="00555046">
            <w:pPr>
              <w:cnfStyle w:val="000000100000" w:firstRow="0" w:lastRow="0" w:firstColumn="0" w:lastColumn="0" w:oddVBand="0" w:evenVBand="0" w:oddHBand="1" w:evenHBand="0" w:firstRowFirstColumn="0" w:firstRowLastColumn="0" w:lastRowFirstColumn="0" w:lastRowLastColumn="0"/>
              <w:rPr>
                <w:sz w:val="24"/>
                <w:szCs w:val="24"/>
              </w:rPr>
            </w:pPr>
            <w:r w:rsidRPr="00F87777">
              <w:rPr>
                <w:sz w:val="24"/>
                <w:szCs w:val="24"/>
              </w:rPr>
              <w:t>“Responsibilities: Section 3.j.6.(a)</w:t>
            </w:r>
            <w:r w:rsidRPr="00F87777">
              <w:rPr>
                <w:sz w:val="24"/>
                <w:szCs w:val="24"/>
              </w:rPr>
              <w:br/>
              <w:t xml:space="preserve">In order to be eligible for acknowledgement or acceptance, offers of real property must contain sufficient design information….for a Business Case Analysis” </w:t>
            </w:r>
          </w:p>
          <w:p w14:paraId="7D21DFDD" w14:textId="77777777" w:rsidR="00555046" w:rsidRPr="00F87777" w:rsidRDefault="00555046" w:rsidP="00555046">
            <w:pPr>
              <w:cnfStyle w:val="000000100000" w:firstRow="0" w:lastRow="0" w:firstColumn="0" w:lastColumn="0" w:oddVBand="0" w:evenVBand="0" w:oddHBand="1" w:evenHBand="0" w:firstRowFirstColumn="0" w:firstRowLastColumn="0" w:lastRowFirstColumn="0" w:lastRowLastColumn="0"/>
              <w:rPr>
                <w:sz w:val="24"/>
                <w:szCs w:val="24"/>
              </w:rPr>
            </w:pPr>
          </w:p>
          <w:p w14:paraId="17961294" w14:textId="4FF8678A" w:rsidR="00555046" w:rsidRPr="00F87777" w:rsidRDefault="00555046" w:rsidP="00555046">
            <w:pPr>
              <w:cnfStyle w:val="000000100000" w:firstRow="0" w:lastRow="0" w:firstColumn="0" w:lastColumn="0" w:oddVBand="0" w:evenVBand="0" w:oddHBand="1" w:evenHBand="0" w:firstRowFirstColumn="0" w:firstRowLastColumn="0" w:lastRowFirstColumn="0" w:lastRowLastColumn="0"/>
              <w:rPr>
                <w:sz w:val="24"/>
                <w:szCs w:val="24"/>
              </w:rPr>
            </w:pPr>
            <w:r w:rsidRPr="00F87777">
              <w:rPr>
                <w:sz w:val="24"/>
                <w:szCs w:val="24"/>
              </w:rPr>
              <w:t>Section 3.j.6</w:t>
            </w:r>
            <w:r w:rsidR="00F87777" w:rsidRPr="00F87777">
              <w:rPr>
                <w:sz w:val="24"/>
                <w:szCs w:val="24"/>
              </w:rPr>
              <w:t>. (</w:t>
            </w:r>
            <w:r w:rsidRPr="00F87777">
              <w:rPr>
                <w:sz w:val="24"/>
                <w:szCs w:val="24"/>
              </w:rPr>
              <w:t>b).”Specific items that must be addressed in the BCA include:…</w:t>
            </w:r>
          </w:p>
          <w:p w14:paraId="735383D1" w14:textId="77777777" w:rsidR="00555046" w:rsidRPr="00F87777" w:rsidRDefault="00555046" w:rsidP="00555046">
            <w:pPr>
              <w:cnfStyle w:val="000000100000" w:firstRow="0" w:lastRow="0" w:firstColumn="0" w:lastColumn="0" w:oddVBand="0" w:evenVBand="0" w:oddHBand="1" w:evenHBand="0" w:firstRowFirstColumn="0" w:firstRowLastColumn="0" w:lastRowFirstColumn="0" w:lastRowLastColumn="0"/>
              <w:rPr>
                <w:sz w:val="24"/>
                <w:szCs w:val="24"/>
              </w:rPr>
            </w:pPr>
            <w:r w:rsidRPr="00F87777">
              <w:rPr>
                <w:sz w:val="24"/>
                <w:szCs w:val="24"/>
              </w:rPr>
              <w:lastRenderedPageBreak/>
              <w:t xml:space="preserve">7. “The approximate current fair market value of the gift.” </w:t>
            </w:r>
          </w:p>
          <w:p w14:paraId="65F4D0C6" w14:textId="77777777" w:rsidR="00555046" w:rsidRDefault="00555046" w:rsidP="00555046">
            <w:pPr>
              <w:cnfStyle w:val="000000100000" w:firstRow="0" w:lastRow="0" w:firstColumn="0" w:lastColumn="0" w:oddVBand="0" w:evenVBand="0" w:oddHBand="1" w:evenHBand="0" w:firstRowFirstColumn="0" w:firstRowLastColumn="0" w:lastRowFirstColumn="0" w:lastRowLastColumn="0"/>
            </w:pPr>
          </w:p>
          <w:p w14:paraId="7BFA32D6" w14:textId="37F11194" w:rsidR="00555046" w:rsidRPr="00F87777" w:rsidRDefault="00555046" w:rsidP="00555046">
            <w:pPr>
              <w:cnfStyle w:val="000000100000" w:firstRow="0" w:lastRow="0" w:firstColumn="0" w:lastColumn="0" w:oddVBand="0" w:evenVBand="0" w:oddHBand="1" w:evenHBand="0" w:firstRowFirstColumn="0" w:firstRowLastColumn="0" w:lastRowFirstColumn="0" w:lastRowLastColumn="0"/>
              <w:rPr>
                <w:sz w:val="24"/>
                <w:szCs w:val="24"/>
              </w:rPr>
            </w:pPr>
            <w:r w:rsidRPr="00F87777">
              <w:rPr>
                <w:sz w:val="24"/>
                <w:szCs w:val="24"/>
              </w:rPr>
              <w:t xml:space="preserve">Section 3.k “All gifts of money or </w:t>
            </w:r>
            <w:r w:rsidR="00F87777">
              <w:rPr>
                <w:sz w:val="24"/>
                <w:szCs w:val="24"/>
              </w:rPr>
              <w:t>securities accepted shall be de</w:t>
            </w:r>
            <w:r w:rsidRPr="00F87777">
              <w:rPr>
                <w:sz w:val="24"/>
                <w:szCs w:val="24"/>
              </w:rPr>
              <w:t>po</w:t>
            </w:r>
            <w:r w:rsidR="00F87777">
              <w:rPr>
                <w:sz w:val="24"/>
                <w:szCs w:val="24"/>
              </w:rPr>
              <w:t>sit</w:t>
            </w:r>
            <w:r w:rsidRPr="00F87777">
              <w:rPr>
                <w:sz w:val="24"/>
                <w:szCs w:val="24"/>
              </w:rPr>
              <w:t>ed into the Navy General Gift Fund. (NGGF)”</w:t>
            </w:r>
          </w:p>
          <w:p w14:paraId="487D460F" w14:textId="77777777" w:rsidR="00555046" w:rsidRPr="00F87777" w:rsidRDefault="00555046" w:rsidP="00555046">
            <w:pPr>
              <w:cnfStyle w:val="000000100000" w:firstRow="0" w:lastRow="0" w:firstColumn="0" w:lastColumn="0" w:oddVBand="0" w:evenVBand="0" w:oddHBand="1" w:evenHBand="0" w:firstRowFirstColumn="0" w:firstRowLastColumn="0" w:lastRowFirstColumn="0" w:lastRowLastColumn="0"/>
              <w:rPr>
                <w:sz w:val="24"/>
                <w:szCs w:val="24"/>
              </w:rPr>
            </w:pPr>
          </w:p>
          <w:p w14:paraId="08F59348" w14:textId="77777777" w:rsidR="00555046" w:rsidRPr="00F87777" w:rsidRDefault="00555046" w:rsidP="00555046">
            <w:pPr>
              <w:cnfStyle w:val="000000100000" w:firstRow="0" w:lastRow="0" w:firstColumn="0" w:lastColumn="0" w:oddVBand="0" w:evenVBand="0" w:oddHBand="1" w:evenHBand="0" w:firstRowFirstColumn="0" w:firstRowLastColumn="0" w:lastRowFirstColumn="0" w:lastRowLastColumn="0"/>
              <w:rPr>
                <w:sz w:val="24"/>
                <w:szCs w:val="24"/>
              </w:rPr>
            </w:pPr>
            <w:r w:rsidRPr="00F87777">
              <w:rPr>
                <w:sz w:val="24"/>
                <w:szCs w:val="24"/>
              </w:rPr>
              <w:t>Section 3.k.4 “Activities may not execute funds until DON/AA verifies proper acceptance, verifies deposit into NGGF, and issues a fund allotment.”</w:t>
            </w:r>
          </w:p>
          <w:p w14:paraId="121B8C26" w14:textId="7D8D9115" w:rsidR="00F41410" w:rsidRDefault="00F41410" w:rsidP="00ED2634">
            <w:pPr>
              <w:cnfStyle w:val="000000100000" w:firstRow="0" w:lastRow="0" w:firstColumn="0" w:lastColumn="0" w:oddVBand="0" w:evenVBand="0" w:oddHBand="1" w:evenHBand="0" w:firstRowFirstColumn="0" w:firstRowLastColumn="0" w:lastRowFirstColumn="0" w:lastRowLastColumn="0"/>
            </w:pPr>
          </w:p>
        </w:tc>
      </w:tr>
      <w:tr w:rsidR="00020ABF" w:rsidRPr="0076168A" w14:paraId="121B8C2F" w14:textId="77777777" w:rsidTr="00555046">
        <w:tc>
          <w:tcPr>
            <w:cnfStyle w:val="001000000000" w:firstRow="0" w:lastRow="0" w:firstColumn="1" w:lastColumn="0" w:oddVBand="0" w:evenVBand="0" w:oddHBand="0" w:evenHBand="0" w:firstRowFirstColumn="0" w:firstRowLastColumn="0" w:lastRowFirstColumn="0" w:lastRowLastColumn="0"/>
            <w:tcW w:w="5755" w:type="dxa"/>
          </w:tcPr>
          <w:p w14:paraId="121B8C29" w14:textId="34A89D34" w:rsidR="00020ABF" w:rsidRPr="002D71C8" w:rsidRDefault="00020ABF" w:rsidP="00C07834">
            <w:pPr>
              <w:autoSpaceDE w:val="0"/>
              <w:autoSpaceDN w:val="0"/>
              <w:adjustRightInd w:val="0"/>
              <w:rPr>
                <w:rFonts w:asciiTheme="minorHAnsi" w:hAnsiTheme="minorHAnsi" w:cs="Times New Roman"/>
                <w:b w:val="0"/>
                <w:sz w:val="24"/>
                <w:szCs w:val="24"/>
              </w:rPr>
            </w:pPr>
            <w:r w:rsidRPr="0076168A">
              <w:rPr>
                <w:rFonts w:asciiTheme="minorHAnsi" w:hAnsiTheme="minorHAnsi" w:cs="Times New Roman"/>
                <w:sz w:val="24"/>
                <w:szCs w:val="24"/>
              </w:rPr>
              <w:lastRenderedPageBreak/>
              <w:t>DoD</w:t>
            </w:r>
            <w:r w:rsidR="00252225">
              <w:rPr>
                <w:rFonts w:asciiTheme="minorHAnsi" w:hAnsiTheme="minorHAnsi" w:cs="Times New Roman"/>
                <w:sz w:val="24"/>
                <w:szCs w:val="24"/>
              </w:rPr>
              <w:t>I</w:t>
            </w:r>
            <w:r w:rsidR="00596979">
              <w:rPr>
                <w:rFonts w:asciiTheme="minorHAnsi" w:hAnsiTheme="minorHAnsi" w:cs="Times New Roman"/>
                <w:sz w:val="24"/>
                <w:szCs w:val="24"/>
              </w:rPr>
              <w:t xml:space="preserve"> </w:t>
            </w:r>
            <w:r w:rsidRPr="0076168A">
              <w:rPr>
                <w:rFonts w:asciiTheme="minorHAnsi" w:hAnsiTheme="minorHAnsi" w:cs="Times New Roman"/>
                <w:sz w:val="24"/>
                <w:szCs w:val="24"/>
              </w:rPr>
              <w:t>1015.15</w:t>
            </w:r>
            <w:r w:rsidRPr="0076168A">
              <w:rPr>
                <w:rFonts w:asciiTheme="minorHAnsi" w:hAnsiTheme="minorHAnsi" w:cs="Times New Roman"/>
                <w:b w:val="0"/>
                <w:sz w:val="24"/>
                <w:szCs w:val="24"/>
              </w:rPr>
              <w:t xml:space="preserve">: </w:t>
            </w:r>
            <w:r w:rsidR="00001110">
              <w:rPr>
                <w:rFonts w:asciiTheme="minorHAnsi" w:hAnsiTheme="minorHAnsi" w:cs="Times New Roman"/>
                <w:b w:val="0"/>
                <w:sz w:val="24"/>
                <w:szCs w:val="24"/>
              </w:rPr>
              <w:t xml:space="preserve">2.2.6. Donations to the Department </w:t>
            </w:r>
            <w:r w:rsidR="00001110" w:rsidRPr="00001110">
              <w:rPr>
                <w:rFonts w:asciiTheme="minorHAnsi" w:hAnsiTheme="minorHAnsi" w:cs="Times New Roman"/>
                <w:b w:val="0"/>
                <w:sz w:val="24"/>
                <w:szCs w:val="24"/>
              </w:rPr>
              <w:t xml:space="preserve">of Defense or the Military Departments in accordance with Volume 12 </w:t>
            </w:r>
            <w:r w:rsidR="00AC1516">
              <w:rPr>
                <w:rFonts w:asciiTheme="minorHAnsi" w:hAnsiTheme="minorHAnsi" w:cs="Times New Roman"/>
                <w:b w:val="0"/>
                <w:sz w:val="24"/>
                <w:szCs w:val="24"/>
              </w:rPr>
              <w:t>of DoD 7000.14-R</w:t>
            </w:r>
            <w:r w:rsidR="00001110" w:rsidRPr="00001110">
              <w:rPr>
                <w:rFonts w:asciiTheme="minorHAnsi" w:hAnsiTheme="minorHAnsi" w:cs="Times New Roman"/>
                <w:b w:val="0"/>
                <w:sz w:val="24"/>
                <w:szCs w:val="24"/>
              </w:rPr>
              <w:t xml:space="preserve">. </w:t>
            </w:r>
          </w:p>
        </w:tc>
        <w:tc>
          <w:tcPr>
            <w:tcW w:w="3060" w:type="dxa"/>
          </w:tcPr>
          <w:p w14:paraId="121B8C2B" w14:textId="10243510" w:rsidR="00020ABF" w:rsidRPr="0076168A" w:rsidRDefault="00F87777" w:rsidP="00F41410">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4"/>
                <w:szCs w:val="24"/>
              </w:rPr>
            </w:pPr>
            <w:r>
              <w:rPr>
                <w:rFonts w:asciiTheme="minorHAnsi" w:hAnsiTheme="minorHAnsi" w:cs="Times New Roman"/>
                <w:sz w:val="24"/>
                <w:szCs w:val="24"/>
              </w:rPr>
              <w:t>Follows G</w:t>
            </w:r>
            <w:r w:rsidR="00BF4950">
              <w:rPr>
                <w:rFonts w:asciiTheme="minorHAnsi" w:hAnsiTheme="minorHAnsi" w:cs="Times New Roman"/>
                <w:sz w:val="24"/>
                <w:szCs w:val="24"/>
              </w:rPr>
              <w:t>uidance.</w:t>
            </w:r>
          </w:p>
        </w:tc>
        <w:tc>
          <w:tcPr>
            <w:tcW w:w="2155" w:type="dxa"/>
          </w:tcPr>
          <w:p w14:paraId="121B8C2C" w14:textId="19607E73" w:rsidR="00020ABF" w:rsidRPr="00F87777" w:rsidRDefault="0066365E" w:rsidP="00020ABF">
            <w:pPr>
              <w:cnfStyle w:val="000000000000" w:firstRow="0" w:lastRow="0" w:firstColumn="0" w:lastColumn="0" w:oddVBand="0" w:evenVBand="0" w:oddHBand="0" w:evenHBand="0" w:firstRowFirstColumn="0" w:firstRowLastColumn="0" w:lastRowFirstColumn="0" w:lastRowLastColumn="0"/>
              <w:rPr>
                <w:sz w:val="24"/>
                <w:szCs w:val="24"/>
              </w:rPr>
            </w:pPr>
            <w:r w:rsidRPr="00F87777">
              <w:rPr>
                <w:sz w:val="24"/>
                <w:szCs w:val="24"/>
              </w:rPr>
              <w:t>Unclear</w:t>
            </w:r>
            <w:r w:rsidR="00F87777">
              <w:rPr>
                <w:sz w:val="24"/>
                <w:szCs w:val="24"/>
              </w:rPr>
              <w:t>.</w:t>
            </w:r>
          </w:p>
        </w:tc>
        <w:tc>
          <w:tcPr>
            <w:tcW w:w="2165" w:type="dxa"/>
          </w:tcPr>
          <w:p w14:paraId="121B8C2D" w14:textId="14948892" w:rsidR="00020ABF" w:rsidRPr="00F87777" w:rsidRDefault="00555046" w:rsidP="00020ABF">
            <w:pPr>
              <w:cnfStyle w:val="000000000000" w:firstRow="0" w:lastRow="0" w:firstColumn="0" w:lastColumn="0" w:oddVBand="0" w:evenVBand="0" w:oddHBand="0" w:evenHBand="0" w:firstRowFirstColumn="0" w:firstRowLastColumn="0" w:lastRowFirstColumn="0" w:lastRowLastColumn="0"/>
              <w:rPr>
                <w:sz w:val="24"/>
                <w:szCs w:val="24"/>
              </w:rPr>
            </w:pPr>
            <w:r w:rsidRPr="00F87777">
              <w:rPr>
                <w:sz w:val="24"/>
                <w:szCs w:val="24"/>
              </w:rPr>
              <w:t>Follows Guidance</w:t>
            </w:r>
            <w:r w:rsidR="00F87777" w:rsidRPr="00F87777">
              <w:rPr>
                <w:sz w:val="24"/>
                <w:szCs w:val="24"/>
              </w:rPr>
              <w:t>.</w:t>
            </w:r>
          </w:p>
        </w:tc>
        <w:tc>
          <w:tcPr>
            <w:tcW w:w="2070" w:type="dxa"/>
          </w:tcPr>
          <w:p w14:paraId="121B8C2E" w14:textId="3D815973" w:rsidR="00020ABF" w:rsidRPr="00F87777" w:rsidRDefault="00555046" w:rsidP="00020ABF">
            <w:pPr>
              <w:cnfStyle w:val="000000000000" w:firstRow="0" w:lastRow="0" w:firstColumn="0" w:lastColumn="0" w:oddVBand="0" w:evenVBand="0" w:oddHBand="0" w:evenHBand="0" w:firstRowFirstColumn="0" w:firstRowLastColumn="0" w:lastRowFirstColumn="0" w:lastRowLastColumn="0"/>
              <w:rPr>
                <w:sz w:val="24"/>
                <w:szCs w:val="24"/>
              </w:rPr>
            </w:pPr>
            <w:r w:rsidRPr="00F87777">
              <w:rPr>
                <w:sz w:val="24"/>
                <w:szCs w:val="24"/>
              </w:rPr>
              <w:t>Follows Guidance</w:t>
            </w:r>
            <w:r w:rsidR="00F87777" w:rsidRPr="00F87777">
              <w:rPr>
                <w:sz w:val="24"/>
                <w:szCs w:val="24"/>
              </w:rPr>
              <w:t>.</w:t>
            </w:r>
          </w:p>
        </w:tc>
      </w:tr>
      <w:tr w:rsidR="00020ABF" w:rsidRPr="0076168A" w14:paraId="121B8C35" w14:textId="77777777" w:rsidTr="005550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55" w:type="dxa"/>
          </w:tcPr>
          <w:p w14:paraId="40FCF35F" w14:textId="79813D21" w:rsidR="00001110" w:rsidRPr="00001110" w:rsidRDefault="00001110" w:rsidP="00001110">
            <w:pPr>
              <w:pStyle w:val="Default"/>
              <w:rPr>
                <w:rFonts w:asciiTheme="minorHAnsi" w:hAnsiTheme="minorHAnsi"/>
              </w:rPr>
            </w:pPr>
            <w:r>
              <w:rPr>
                <w:rFonts w:asciiTheme="minorHAnsi" w:hAnsiTheme="minorHAnsi"/>
              </w:rPr>
              <w:t xml:space="preserve">FMR Volume 4, Chapter 16. </w:t>
            </w:r>
            <w:r w:rsidRPr="00001110">
              <w:rPr>
                <w:rFonts w:asciiTheme="minorHAnsi" w:hAnsiTheme="minorHAnsi"/>
              </w:rPr>
              <w:t>160305. Donations</w:t>
            </w:r>
          </w:p>
          <w:p w14:paraId="1374965B" w14:textId="3C7BA8B9" w:rsidR="00001110" w:rsidRDefault="00001110" w:rsidP="00001110">
            <w:pPr>
              <w:pStyle w:val="Default"/>
              <w:rPr>
                <w:rFonts w:asciiTheme="minorHAnsi" w:hAnsiTheme="minorHAnsi"/>
                <w:b w:val="0"/>
              </w:rPr>
            </w:pPr>
            <w:r w:rsidRPr="004948C8">
              <w:rPr>
                <w:rFonts w:asciiTheme="minorHAnsi" w:hAnsiTheme="minorHAnsi"/>
                <w:b w:val="0"/>
              </w:rPr>
              <w:t xml:space="preserve">Donations are contributions to </w:t>
            </w:r>
            <w:r w:rsidR="004948C8">
              <w:rPr>
                <w:rFonts w:asciiTheme="minorHAnsi" w:hAnsiTheme="minorHAnsi"/>
                <w:b w:val="0"/>
              </w:rPr>
              <w:t xml:space="preserve">the government, i.e., voluntary </w:t>
            </w:r>
            <w:r w:rsidRPr="004948C8">
              <w:rPr>
                <w:rFonts w:asciiTheme="minorHAnsi" w:hAnsiTheme="minorHAnsi"/>
                <w:b w:val="0"/>
              </w:rPr>
              <w:t>gifts of resources to a</w:t>
            </w:r>
            <w:r w:rsidR="004948C8">
              <w:rPr>
                <w:rFonts w:asciiTheme="minorHAnsi" w:hAnsiTheme="minorHAnsi"/>
                <w:b w:val="0"/>
              </w:rPr>
              <w:t xml:space="preserve"> </w:t>
            </w:r>
            <w:r w:rsidRPr="004948C8">
              <w:rPr>
                <w:rFonts w:asciiTheme="minorHAnsi" w:hAnsiTheme="minorHAnsi"/>
                <w:b w:val="0"/>
              </w:rPr>
              <w:t xml:space="preserve">government </w:t>
            </w:r>
            <w:r w:rsidR="004948C8">
              <w:rPr>
                <w:rFonts w:asciiTheme="minorHAnsi" w:hAnsiTheme="minorHAnsi"/>
                <w:b w:val="0"/>
              </w:rPr>
              <w:t xml:space="preserve">entity by a non-federal entity. </w:t>
            </w:r>
            <w:r w:rsidRPr="004948C8">
              <w:rPr>
                <w:rFonts w:asciiTheme="minorHAnsi" w:hAnsiTheme="minorHAnsi"/>
                <w:b w:val="0"/>
              </w:rPr>
              <w:t>Donations may be financial resources, such as cash or</w:t>
            </w:r>
            <w:r w:rsidR="004948C8">
              <w:rPr>
                <w:rFonts w:asciiTheme="minorHAnsi" w:hAnsiTheme="minorHAnsi"/>
                <w:b w:val="0"/>
              </w:rPr>
              <w:t xml:space="preserve"> securities, </w:t>
            </w:r>
            <w:r w:rsidRPr="004948C8">
              <w:rPr>
                <w:rFonts w:asciiTheme="minorHAnsi" w:hAnsiTheme="minorHAnsi"/>
                <w:b w:val="0"/>
              </w:rPr>
              <w:t>or non-financial resources suc</w:t>
            </w:r>
            <w:r w:rsidR="004948C8">
              <w:rPr>
                <w:rFonts w:asciiTheme="minorHAnsi" w:hAnsiTheme="minorHAnsi"/>
                <w:b w:val="0"/>
              </w:rPr>
              <w:t xml:space="preserve">h as land or buildings. Revenue </w:t>
            </w:r>
            <w:r w:rsidRPr="004948C8">
              <w:rPr>
                <w:rFonts w:asciiTheme="minorHAnsi" w:hAnsiTheme="minorHAnsi"/>
                <w:b w:val="0"/>
              </w:rPr>
              <w:t>arising from donations</w:t>
            </w:r>
            <w:r w:rsidR="004948C8">
              <w:rPr>
                <w:rFonts w:asciiTheme="minorHAnsi" w:hAnsiTheme="minorHAnsi"/>
                <w:b w:val="0"/>
              </w:rPr>
              <w:t xml:space="preserve"> </w:t>
            </w:r>
            <w:r w:rsidRPr="004948C8">
              <w:rPr>
                <w:rFonts w:asciiTheme="minorHAnsi" w:hAnsiTheme="minorHAnsi"/>
                <w:b w:val="0"/>
              </w:rPr>
              <w:t xml:space="preserve">must be </w:t>
            </w:r>
            <w:r w:rsidR="004948C8">
              <w:rPr>
                <w:rFonts w:asciiTheme="minorHAnsi" w:hAnsiTheme="minorHAnsi"/>
                <w:b w:val="0"/>
              </w:rPr>
              <w:t xml:space="preserve">recognized for those inflows of </w:t>
            </w:r>
            <w:r w:rsidRPr="004948C8">
              <w:rPr>
                <w:rFonts w:asciiTheme="minorHAnsi" w:hAnsiTheme="minorHAnsi"/>
                <w:b w:val="0"/>
              </w:rPr>
              <w:t>resources that meet recognition criteria for assets and</w:t>
            </w:r>
            <w:r w:rsidR="004948C8">
              <w:rPr>
                <w:rFonts w:asciiTheme="minorHAnsi" w:hAnsiTheme="minorHAnsi"/>
                <w:b w:val="0"/>
              </w:rPr>
              <w:t xml:space="preserve"> must be </w:t>
            </w:r>
            <w:r w:rsidRPr="004948C8">
              <w:rPr>
                <w:rFonts w:asciiTheme="minorHAnsi" w:hAnsiTheme="minorHAnsi"/>
                <w:b w:val="0"/>
              </w:rPr>
              <w:t xml:space="preserve">measured at the </w:t>
            </w:r>
            <w:r w:rsidRPr="004948C8">
              <w:rPr>
                <w:rFonts w:asciiTheme="minorHAnsi" w:hAnsiTheme="minorHAnsi"/>
                <w:b w:val="0"/>
              </w:rPr>
              <w:lastRenderedPageBreak/>
              <w:t>estimated fair market value of the contribution. In cases of the donation</w:t>
            </w:r>
            <w:r w:rsidR="004948C8">
              <w:rPr>
                <w:rFonts w:asciiTheme="minorHAnsi" w:hAnsiTheme="minorHAnsi"/>
                <w:b w:val="0"/>
              </w:rPr>
              <w:t xml:space="preserve"> </w:t>
            </w:r>
            <w:r w:rsidRPr="004948C8">
              <w:rPr>
                <w:rFonts w:asciiTheme="minorHAnsi" w:hAnsiTheme="minorHAnsi"/>
                <w:b w:val="0"/>
              </w:rPr>
              <w:t>of assets c</w:t>
            </w:r>
            <w:r w:rsidR="004948C8">
              <w:rPr>
                <w:rFonts w:asciiTheme="minorHAnsi" w:hAnsiTheme="minorHAnsi"/>
                <w:b w:val="0"/>
              </w:rPr>
              <w:t xml:space="preserve">lassified as heritage assets or </w:t>
            </w:r>
            <w:r w:rsidRPr="004948C8">
              <w:rPr>
                <w:rFonts w:asciiTheme="minorHAnsi" w:hAnsiTheme="minorHAnsi"/>
                <w:b w:val="0"/>
              </w:rPr>
              <w:t>stewardship land, no amount is recognized because such</w:t>
            </w:r>
            <w:r w:rsidR="004948C8">
              <w:rPr>
                <w:rFonts w:asciiTheme="minorHAnsi" w:hAnsiTheme="minorHAnsi"/>
                <w:b w:val="0"/>
              </w:rPr>
              <w:t xml:space="preserve"> </w:t>
            </w:r>
            <w:r w:rsidRPr="004948C8">
              <w:rPr>
                <w:rFonts w:asciiTheme="minorHAnsi" w:hAnsiTheme="minorHAnsi"/>
                <w:b w:val="0"/>
              </w:rPr>
              <w:t>PP&amp;E</w:t>
            </w:r>
            <w:r w:rsidR="004948C8">
              <w:rPr>
                <w:rFonts w:asciiTheme="minorHAnsi" w:hAnsiTheme="minorHAnsi"/>
                <w:b w:val="0"/>
              </w:rPr>
              <w:t xml:space="preserve"> </w:t>
            </w:r>
            <w:r w:rsidRPr="004948C8">
              <w:rPr>
                <w:rFonts w:asciiTheme="minorHAnsi" w:hAnsiTheme="minorHAnsi"/>
                <w:b w:val="0"/>
              </w:rPr>
              <w:t xml:space="preserve">would have been expensed when purchased. </w:t>
            </w:r>
            <w:r w:rsidR="004948C8">
              <w:rPr>
                <w:rFonts w:asciiTheme="minorHAnsi" w:hAnsiTheme="minorHAnsi"/>
                <w:b w:val="0"/>
              </w:rPr>
              <w:t xml:space="preserve">Multi-use heritage </w:t>
            </w:r>
            <w:r w:rsidRPr="004948C8">
              <w:rPr>
                <w:rFonts w:asciiTheme="minorHAnsi" w:hAnsiTheme="minorHAnsi"/>
                <w:b w:val="0"/>
              </w:rPr>
              <w:t>assets should be</w:t>
            </w:r>
            <w:r w:rsidR="004948C8">
              <w:rPr>
                <w:rFonts w:asciiTheme="minorHAnsi" w:hAnsiTheme="minorHAnsi"/>
                <w:b w:val="0"/>
              </w:rPr>
              <w:t xml:space="preserve"> </w:t>
            </w:r>
            <w:r w:rsidRPr="004948C8">
              <w:rPr>
                <w:rFonts w:asciiTheme="minorHAnsi" w:hAnsiTheme="minorHAnsi"/>
                <w:b w:val="0"/>
              </w:rPr>
              <w:t>recognized at fair m</w:t>
            </w:r>
            <w:r w:rsidR="004948C8">
              <w:rPr>
                <w:rFonts w:asciiTheme="minorHAnsi" w:hAnsiTheme="minorHAnsi"/>
                <w:b w:val="0"/>
              </w:rPr>
              <w:t xml:space="preserve">arket value, similar to general </w:t>
            </w:r>
            <w:r w:rsidRPr="004948C8">
              <w:rPr>
                <w:rFonts w:asciiTheme="minorHAnsi" w:hAnsiTheme="minorHAnsi"/>
                <w:b w:val="0"/>
              </w:rPr>
              <w:t>PP&amp;E.</w:t>
            </w:r>
          </w:p>
          <w:p w14:paraId="5D7CC656" w14:textId="77777777" w:rsidR="004948C8" w:rsidRDefault="004948C8" w:rsidP="00001110">
            <w:pPr>
              <w:pStyle w:val="Default"/>
              <w:rPr>
                <w:rFonts w:asciiTheme="minorHAnsi" w:hAnsiTheme="minorHAnsi"/>
                <w:b w:val="0"/>
              </w:rPr>
            </w:pPr>
          </w:p>
          <w:p w14:paraId="48480582" w14:textId="17F0446B" w:rsidR="004948C8" w:rsidRDefault="004948C8" w:rsidP="00086875">
            <w:pPr>
              <w:pStyle w:val="Default"/>
              <w:rPr>
                <w:rFonts w:asciiTheme="minorHAnsi" w:hAnsiTheme="minorHAnsi"/>
                <w:b w:val="0"/>
              </w:rPr>
            </w:pPr>
            <w:r w:rsidRPr="004948C8">
              <w:rPr>
                <w:rFonts w:asciiTheme="minorHAnsi" w:hAnsiTheme="minorHAnsi"/>
              </w:rPr>
              <w:t>FMR Volume 12, Chapter 3. 030301. Nonmonetary Contributions</w:t>
            </w:r>
            <w:r w:rsidR="00967904">
              <w:rPr>
                <w:rFonts w:asciiTheme="minorHAnsi" w:hAnsiTheme="minorHAnsi"/>
              </w:rPr>
              <w:t>:</w:t>
            </w:r>
            <w:r w:rsidR="00086875">
              <w:rPr>
                <w:rFonts w:asciiTheme="minorHAnsi" w:hAnsiTheme="minorHAnsi"/>
              </w:rPr>
              <w:t xml:space="preserve"> </w:t>
            </w:r>
            <w:r w:rsidR="00086875" w:rsidRPr="00086875">
              <w:rPr>
                <w:rFonts w:asciiTheme="minorHAnsi" w:hAnsiTheme="minorHAnsi"/>
                <w:b w:val="0"/>
              </w:rPr>
              <w:t>These are co</w:t>
            </w:r>
            <w:r w:rsidR="00086875">
              <w:rPr>
                <w:rFonts w:asciiTheme="minorHAnsi" w:hAnsiTheme="minorHAnsi"/>
                <w:b w:val="0"/>
              </w:rPr>
              <w:t xml:space="preserve">ntributions in the form of real </w:t>
            </w:r>
            <w:r w:rsidR="00086875" w:rsidRPr="00086875">
              <w:rPr>
                <w:rFonts w:asciiTheme="minorHAnsi" w:hAnsiTheme="minorHAnsi"/>
                <w:b w:val="0"/>
              </w:rPr>
              <w:t>property (fixed assets such as land, buildings,</w:t>
            </w:r>
            <w:r w:rsidR="00086875">
              <w:rPr>
                <w:rFonts w:asciiTheme="minorHAnsi" w:hAnsiTheme="minorHAnsi"/>
                <w:b w:val="0"/>
              </w:rPr>
              <w:t xml:space="preserve"> other structures, and </w:t>
            </w:r>
            <w:r w:rsidR="00086875" w:rsidRPr="00086875">
              <w:rPr>
                <w:rFonts w:asciiTheme="minorHAnsi" w:hAnsiTheme="minorHAnsi"/>
                <w:b w:val="0"/>
              </w:rPr>
              <w:t>facilities), tangible property (in</w:t>
            </w:r>
            <w:r w:rsidR="00086875">
              <w:rPr>
                <w:rFonts w:asciiTheme="minorHAnsi" w:hAnsiTheme="minorHAnsi"/>
                <w:b w:val="0"/>
              </w:rPr>
              <w:t xml:space="preserve">ventory or items held for sale, </w:t>
            </w:r>
            <w:r w:rsidR="00086875" w:rsidRPr="00086875">
              <w:rPr>
                <w:rFonts w:asciiTheme="minorHAnsi" w:hAnsiTheme="minorHAnsi"/>
                <w:b w:val="0"/>
              </w:rPr>
              <w:t>operating</w:t>
            </w:r>
            <w:r w:rsidR="00086875">
              <w:rPr>
                <w:rFonts w:asciiTheme="minorHAnsi" w:hAnsiTheme="minorHAnsi"/>
                <w:b w:val="0"/>
              </w:rPr>
              <w:t xml:space="preserve"> </w:t>
            </w:r>
            <w:r w:rsidR="00086875" w:rsidRPr="00086875">
              <w:rPr>
                <w:rFonts w:asciiTheme="minorHAnsi" w:hAnsiTheme="minorHAnsi"/>
                <w:b w:val="0"/>
              </w:rPr>
              <w:t xml:space="preserve">materials, supplies, </w:t>
            </w:r>
            <w:r w:rsidR="00086875">
              <w:rPr>
                <w:rFonts w:asciiTheme="minorHAnsi" w:hAnsiTheme="minorHAnsi"/>
                <w:b w:val="0"/>
              </w:rPr>
              <w:t xml:space="preserve">and equipment) or services that </w:t>
            </w:r>
            <w:r w:rsidR="00086875" w:rsidRPr="00086875">
              <w:rPr>
                <w:rFonts w:asciiTheme="minorHAnsi" w:hAnsiTheme="minorHAnsi"/>
                <w:b w:val="0"/>
              </w:rPr>
              <w:t>would benefit the DoD if accepted. Once the</w:t>
            </w:r>
            <w:r w:rsidR="00086875">
              <w:rPr>
                <w:rFonts w:asciiTheme="minorHAnsi" w:hAnsiTheme="minorHAnsi"/>
                <w:b w:val="0"/>
              </w:rPr>
              <w:t xml:space="preserve"> DoD accepts these </w:t>
            </w:r>
            <w:r w:rsidR="00086875" w:rsidRPr="00086875">
              <w:rPr>
                <w:rFonts w:asciiTheme="minorHAnsi" w:hAnsiTheme="minorHAnsi"/>
                <w:b w:val="0"/>
              </w:rPr>
              <w:t>contributions, the intent of the a</w:t>
            </w:r>
            <w:r w:rsidR="00086875">
              <w:rPr>
                <w:rFonts w:asciiTheme="minorHAnsi" w:hAnsiTheme="minorHAnsi"/>
                <w:b w:val="0"/>
              </w:rPr>
              <w:t xml:space="preserve">ccounting standards (Statements </w:t>
            </w:r>
            <w:r w:rsidR="00086875" w:rsidRPr="00086875">
              <w:rPr>
                <w:rFonts w:asciiTheme="minorHAnsi" w:hAnsiTheme="minorHAnsi"/>
                <w:b w:val="0"/>
              </w:rPr>
              <w:t>of Federal</w:t>
            </w:r>
            <w:r w:rsidR="00086875">
              <w:rPr>
                <w:rFonts w:asciiTheme="minorHAnsi" w:hAnsiTheme="minorHAnsi"/>
                <w:b w:val="0"/>
              </w:rPr>
              <w:t xml:space="preserve"> </w:t>
            </w:r>
            <w:r w:rsidR="00086875" w:rsidRPr="00086875">
              <w:rPr>
                <w:rFonts w:asciiTheme="minorHAnsi" w:hAnsiTheme="minorHAnsi"/>
                <w:b w:val="0"/>
              </w:rPr>
              <w:t>Financial Accounting</w:t>
            </w:r>
            <w:r w:rsidR="00086875">
              <w:rPr>
                <w:rFonts w:asciiTheme="minorHAnsi" w:hAnsiTheme="minorHAnsi"/>
                <w:b w:val="0"/>
              </w:rPr>
              <w:t xml:space="preserve"> Standards (SFFAS)) is that the </w:t>
            </w:r>
            <w:r w:rsidR="00086875" w:rsidRPr="00086875">
              <w:rPr>
                <w:rFonts w:asciiTheme="minorHAnsi" w:hAnsiTheme="minorHAnsi"/>
                <w:b w:val="0"/>
              </w:rPr>
              <w:t>benefiting DoD organization should</w:t>
            </w:r>
            <w:r w:rsidR="00086875">
              <w:rPr>
                <w:rFonts w:asciiTheme="minorHAnsi" w:hAnsiTheme="minorHAnsi"/>
                <w:b w:val="0"/>
              </w:rPr>
              <w:t xml:space="preserve"> recognize the contribution in </w:t>
            </w:r>
            <w:r w:rsidR="00086875" w:rsidRPr="00086875">
              <w:rPr>
                <w:rFonts w:asciiTheme="minorHAnsi" w:hAnsiTheme="minorHAnsi"/>
                <w:b w:val="0"/>
              </w:rPr>
              <w:t xml:space="preserve">its financial statements. </w:t>
            </w:r>
          </w:p>
          <w:p w14:paraId="24DD5925" w14:textId="56807175" w:rsidR="00086875" w:rsidRPr="00086875" w:rsidRDefault="00086875" w:rsidP="00086875">
            <w:pPr>
              <w:pStyle w:val="Default"/>
              <w:rPr>
                <w:rFonts w:asciiTheme="minorHAnsi" w:hAnsiTheme="minorHAnsi"/>
                <w:b w:val="0"/>
              </w:rPr>
            </w:pPr>
            <w:r w:rsidRPr="00086875">
              <w:rPr>
                <w:rFonts w:asciiTheme="minorHAnsi" w:hAnsiTheme="minorHAnsi"/>
                <w:b w:val="0"/>
              </w:rPr>
              <w:t>A. The receiving DoD orga</w:t>
            </w:r>
            <w:r>
              <w:rPr>
                <w:rFonts w:asciiTheme="minorHAnsi" w:hAnsiTheme="minorHAnsi"/>
                <w:b w:val="0"/>
              </w:rPr>
              <w:t xml:space="preserve">nization recognizes a change in </w:t>
            </w:r>
            <w:r w:rsidRPr="00086875">
              <w:rPr>
                <w:rFonts w:asciiTheme="minorHAnsi" w:hAnsiTheme="minorHAnsi"/>
                <w:b w:val="0"/>
              </w:rPr>
              <w:t>inventory, stock,</w:t>
            </w:r>
            <w:r>
              <w:rPr>
                <w:rFonts w:asciiTheme="minorHAnsi" w:hAnsiTheme="minorHAnsi"/>
                <w:b w:val="0"/>
              </w:rPr>
              <w:t xml:space="preserve"> </w:t>
            </w:r>
            <w:r w:rsidRPr="00086875">
              <w:rPr>
                <w:rFonts w:asciiTheme="minorHAnsi" w:hAnsiTheme="minorHAnsi"/>
                <w:b w:val="0"/>
              </w:rPr>
              <w:t>or plant, pr</w:t>
            </w:r>
            <w:r>
              <w:rPr>
                <w:rFonts w:asciiTheme="minorHAnsi" w:hAnsiTheme="minorHAnsi"/>
                <w:b w:val="0"/>
              </w:rPr>
              <w:t xml:space="preserve">operty, and equipment (PP&amp;E) </w:t>
            </w:r>
            <w:r w:rsidRPr="00086875">
              <w:rPr>
                <w:rFonts w:asciiTheme="minorHAnsi" w:hAnsiTheme="minorHAnsi"/>
                <w:b w:val="0"/>
              </w:rPr>
              <w:t>related records once transfer of the goods or services</w:t>
            </w:r>
            <w:r>
              <w:rPr>
                <w:rFonts w:asciiTheme="minorHAnsi" w:hAnsiTheme="minorHAnsi"/>
                <w:b w:val="0"/>
              </w:rPr>
              <w:t xml:space="preserve"> is made thus </w:t>
            </w:r>
            <w:r w:rsidRPr="00086875">
              <w:rPr>
                <w:rFonts w:asciiTheme="minorHAnsi" w:hAnsiTheme="minorHAnsi"/>
                <w:b w:val="0"/>
              </w:rPr>
              <w:t>making DoD the legal owne</w:t>
            </w:r>
            <w:r>
              <w:rPr>
                <w:rFonts w:asciiTheme="minorHAnsi" w:hAnsiTheme="minorHAnsi"/>
                <w:b w:val="0"/>
              </w:rPr>
              <w:t xml:space="preserve">r of said goods or services. An </w:t>
            </w:r>
            <w:r w:rsidRPr="00086875">
              <w:rPr>
                <w:rFonts w:asciiTheme="minorHAnsi" w:hAnsiTheme="minorHAnsi"/>
                <w:b w:val="0"/>
              </w:rPr>
              <w:t>organization receiving</w:t>
            </w:r>
            <w:r>
              <w:rPr>
                <w:rFonts w:asciiTheme="minorHAnsi" w:hAnsiTheme="minorHAnsi"/>
                <w:b w:val="0"/>
              </w:rPr>
              <w:t xml:space="preserve"> </w:t>
            </w:r>
            <w:r w:rsidRPr="00086875">
              <w:rPr>
                <w:rFonts w:asciiTheme="minorHAnsi" w:hAnsiTheme="minorHAnsi"/>
                <w:b w:val="0"/>
              </w:rPr>
              <w:t>donated g</w:t>
            </w:r>
            <w:r>
              <w:rPr>
                <w:rFonts w:asciiTheme="minorHAnsi" w:hAnsiTheme="minorHAnsi"/>
                <w:b w:val="0"/>
              </w:rPr>
              <w:t xml:space="preserve">eneral PP&amp;E determines its fair </w:t>
            </w:r>
            <w:r w:rsidRPr="00086875">
              <w:rPr>
                <w:rFonts w:asciiTheme="minorHAnsi" w:hAnsiTheme="minorHAnsi"/>
                <w:b w:val="0"/>
              </w:rPr>
              <w:t>value at the time it was acquired by the government.</w:t>
            </w:r>
            <w:r w:rsidR="00967904">
              <w:rPr>
                <w:rFonts w:asciiTheme="minorHAnsi" w:hAnsiTheme="minorHAnsi"/>
                <w:b w:val="0"/>
              </w:rPr>
              <w:t xml:space="preserve"> </w:t>
            </w:r>
            <w:r w:rsidRPr="00086875">
              <w:rPr>
                <w:rFonts w:asciiTheme="minorHAnsi" w:hAnsiTheme="minorHAnsi"/>
                <w:b w:val="0"/>
              </w:rPr>
              <w:t>Donations of assets or services mu</w:t>
            </w:r>
            <w:r>
              <w:rPr>
                <w:rFonts w:asciiTheme="minorHAnsi" w:hAnsiTheme="minorHAnsi"/>
                <w:b w:val="0"/>
              </w:rPr>
              <w:t xml:space="preserve">st be reported quarterly to the </w:t>
            </w:r>
            <w:r w:rsidRPr="00086875">
              <w:rPr>
                <w:rFonts w:asciiTheme="minorHAnsi" w:hAnsiTheme="minorHAnsi"/>
                <w:b w:val="0"/>
              </w:rPr>
              <w:t>Defense Finance and</w:t>
            </w:r>
            <w:r>
              <w:rPr>
                <w:rFonts w:asciiTheme="minorHAnsi" w:hAnsiTheme="minorHAnsi"/>
                <w:b w:val="0"/>
              </w:rPr>
              <w:t xml:space="preserve"> </w:t>
            </w:r>
            <w:r w:rsidRPr="00086875">
              <w:rPr>
                <w:rFonts w:asciiTheme="minorHAnsi" w:hAnsiTheme="minorHAnsi"/>
                <w:b w:val="0"/>
              </w:rPr>
              <w:t>Accountin</w:t>
            </w:r>
            <w:r>
              <w:rPr>
                <w:rFonts w:asciiTheme="minorHAnsi" w:hAnsiTheme="minorHAnsi"/>
                <w:b w:val="0"/>
              </w:rPr>
              <w:t xml:space="preserve">g Service (DFAS), Indianapolis, </w:t>
            </w:r>
            <w:r w:rsidRPr="00086875">
              <w:rPr>
                <w:rFonts w:asciiTheme="minorHAnsi" w:hAnsiTheme="minorHAnsi"/>
                <w:b w:val="0"/>
              </w:rPr>
              <w:t>8899 East 56th Street ATTN: Trust Fund Accounting</w:t>
            </w:r>
            <w:r>
              <w:rPr>
                <w:rFonts w:asciiTheme="minorHAnsi" w:hAnsiTheme="minorHAnsi"/>
                <w:b w:val="0"/>
              </w:rPr>
              <w:t xml:space="preserve"> Division, </w:t>
            </w:r>
            <w:r w:rsidRPr="00086875">
              <w:rPr>
                <w:rFonts w:asciiTheme="minorHAnsi" w:hAnsiTheme="minorHAnsi"/>
                <w:b w:val="0"/>
              </w:rPr>
              <w:t>Column 203L, Indianapolis, Indiana 46249-1500 (see par</w:t>
            </w:r>
            <w:r>
              <w:rPr>
                <w:rFonts w:asciiTheme="minorHAnsi" w:hAnsiTheme="minorHAnsi"/>
                <w:b w:val="0"/>
              </w:rPr>
              <w:t xml:space="preserve">agraph </w:t>
            </w:r>
            <w:r w:rsidRPr="00086875">
              <w:rPr>
                <w:rFonts w:asciiTheme="minorHAnsi" w:hAnsiTheme="minorHAnsi"/>
                <w:b w:val="0"/>
              </w:rPr>
              <w:t>030501).</w:t>
            </w:r>
          </w:p>
          <w:p w14:paraId="64123561" w14:textId="5057D613" w:rsidR="00086875" w:rsidRDefault="00086875" w:rsidP="00086875">
            <w:pPr>
              <w:pStyle w:val="Default"/>
              <w:rPr>
                <w:rFonts w:asciiTheme="minorHAnsi" w:hAnsiTheme="minorHAnsi"/>
                <w:b w:val="0"/>
              </w:rPr>
            </w:pPr>
            <w:r w:rsidRPr="00086875">
              <w:rPr>
                <w:rFonts w:asciiTheme="minorHAnsi" w:hAnsiTheme="minorHAnsi"/>
                <w:b w:val="0"/>
              </w:rPr>
              <w:t>B. The receiving organization m</w:t>
            </w:r>
            <w:r>
              <w:rPr>
                <w:rFonts w:asciiTheme="minorHAnsi" w:hAnsiTheme="minorHAnsi"/>
                <w:b w:val="0"/>
              </w:rPr>
              <w:t xml:space="preserve">ust document and retain on file </w:t>
            </w:r>
            <w:r w:rsidRPr="00086875">
              <w:rPr>
                <w:rFonts w:asciiTheme="minorHAnsi" w:hAnsiTheme="minorHAnsi"/>
                <w:b w:val="0"/>
              </w:rPr>
              <w:t>the details of</w:t>
            </w:r>
            <w:r>
              <w:rPr>
                <w:rFonts w:asciiTheme="minorHAnsi" w:hAnsiTheme="minorHAnsi"/>
                <w:b w:val="0"/>
              </w:rPr>
              <w:t xml:space="preserve"> </w:t>
            </w:r>
            <w:r w:rsidRPr="00086875">
              <w:rPr>
                <w:rFonts w:asciiTheme="minorHAnsi" w:hAnsiTheme="minorHAnsi"/>
                <w:b w:val="0"/>
              </w:rPr>
              <w:t>each nonmonetary c</w:t>
            </w:r>
            <w:r>
              <w:rPr>
                <w:rFonts w:asciiTheme="minorHAnsi" w:hAnsiTheme="minorHAnsi"/>
                <w:b w:val="0"/>
              </w:rPr>
              <w:t xml:space="preserve">ontribution received. For audit </w:t>
            </w:r>
            <w:r w:rsidRPr="00086875">
              <w:rPr>
                <w:rFonts w:asciiTheme="minorHAnsi" w:hAnsiTheme="minorHAnsi"/>
                <w:b w:val="0"/>
              </w:rPr>
              <w:t xml:space="preserve">purposes, the supporting </w:t>
            </w:r>
            <w:r w:rsidRPr="00086875">
              <w:rPr>
                <w:rFonts w:asciiTheme="minorHAnsi" w:hAnsiTheme="minorHAnsi"/>
                <w:b w:val="0"/>
              </w:rPr>
              <w:lastRenderedPageBreak/>
              <w:t>documentation must</w:t>
            </w:r>
            <w:r>
              <w:rPr>
                <w:rFonts w:asciiTheme="minorHAnsi" w:hAnsiTheme="minorHAnsi"/>
                <w:b w:val="0"/>
              </w:rPr>
              <w:t xml:space="preserve"> be retained for the </w:t>
            </w:r>
            <w:r w:rsidRPr="00086875">
              <w:rPr>
                <w:rFonts w:asciiTheme="minorHAnsi" w:hAnsiTheme="minorHAnsi"/>
                <w:b w:val="0"/>
              </w:rPr>
              <w:t xml:space="preserve">life of the asset, but no less than 6 years and </w:t>
            </w:r>
            <w:r>
              <w:rPr>
                <w:rFonts w:asciiTheme="minorHAnsi" w:hAnsiTheme="minorHAnsi"/>
                <w:b w:val="0"/>
              </w:rPr>
              <w:t xml:space="preserve">3 months. Each file </w:t>
            </w:r>
            <w:r w:rsidRPr="00086875">
              <w:rPr>
                <w:rFonts w:asciiTheme="minorHAnsi" w:hAnsiTheme="minorHAnsi"/>
                <w:b w:val="0"/>
              </w:rPr>
              <w:t>must</w:t>
            </w:r>
            <w:r>
              <w:rPr>
                <w:rFonts w:asciiTheme="minorHAnsi" w:hAnsiTheme="minorHAnsi"/>
                <w:b w:val="0"/>
              </w:rPr>
              <w:t xml:space="preserve"> </w:t>
            </w:r>
            <w:r w:rsidRPr="00086875">
              <w:rPr>
                <w:rFonts w:asciiTheme="minorHAnsi" w:hAnsiTheme="minorHAnsi"/>
                <w:b w:val="0"/>
              </w:rPr>
              <w:t>include:</w:t>
            </w:r>
          </w:p>
          <w:p w14:paraId="22FB2521" w14:textId="77777777" w:rsidR="00086875" w:rsidRPr="00086875" w:rsidRDefault="00086875" w:rsidP="00086875">
            <w:pPr>
              <w:pStyle w:val="Default"/>
              <w:rPr>
                <w:rFonts w:asciiTheme="minorHAnsi" w:hAnsiTheme="minorHAnsi"/>
                <w:b w:val="0"/>
              </w:rPr>
            </w:pPr>
            <w:r w:rsidRPr="00086875">
              <w:rPr>
                <w:rFonts w:asciiTheme="minorHAnsi" w:hAnsiTheme="minorHAnsi"/>
                <w:b w:val="0"/>
              </w:rPr>
              <w:t>1. A description of the contribution.</w:t>
            </w:r>
          </w:p>
          <w:p w14:paraId="0D2444A8" w14:textId="28251F83" w:rsidR="00086875" w:rsidRPr="00086875" w:rsidRDefault="00086875" w:rsidP="00086875">
            <w:pPr>
              <w:pStyle w:val="Default"/>
              <w:rPr>
                <w:rFonts w:asciiTheme="minorHAnsi" w:hAnsiTheme="minorHAnsi"/>
                <w:b w:val="0"/>
              </w:rPr>
            </w:pPr>
            <w:r w:rsidRPr="00086875">
              <w:rPr>
                <w:rFonts w:asciiTheme="minorHAnsi" w:hAnsiTheme="minorHAnsi"/>
                <w:b w:val="0"/>
              </w:rPr>
              <w:t>2. The estimated value of the contribution, including the valuation</w:t>
            </w:r>
            <w:r>
              <w:rPr>
                <w:rFonts w:asciiTheme="minorHAnsi" w:hAnsiTheme="minorHAnsi"/>
                <w:b w:val="0"/>
              </w:rPr>
              <w:t xml:space="preserve"> </w:t>
            </w:r>
            <w:r w:rsidRPr="00086875">
              <w:rPr>
                <w:rFonts w:asciiTheme="minorHAnsi" w:hAnsiTheme="minorHAnsi"/>
                <w:b w:val="0"/>
              </w:rPr>
              <w:t>method used (see subparagraph 030301.C, below).</w:t>
            </w:r>
          </w:p>
          <w:p w14:paraId="436AA18B" w14:textId="77777777" w:rsidR="00086875" w:rsidRPr="00086875" w:rsidRDefault="00086875" w:rsidP="00086875">
            <w:pPr>
              <w:pStyle w:val="Default"/>
              <w:rPr>
                <w:rFonts w:asciiTheme="minorHAnsi" w:hAnsiTheme="minorHAnsi"/>
                <w:b w:val="0"/>
              </w:rPr>
            </w:pPr>
            <w:r w:rsidRPr="00086875">
              <w:rPr>
                <w:rFonts w:asciiTheme="minorHAnsi" w:hAnsiTheme="minorHAnsi"/>
                <w:b w:val="0"/>
              </w:rPr>
              <w:t>3. The name and address of the donor(s).</w:t>
            </w:r>
          </w:p>
          <w:p w14:paraId="3F0119EB" w14:textId="0C71E95C" w:rsidR="00086875" w:rsidRPr="00086875" w:rsidRDefault="00086875" w:rsidP="00086875">
            <w:pPr>
              <w:pStyle w:val="Default"/>
              <w:rPr>
                <w:rFonts w:asciiTheme="minorHAnsi" w:hAnsiTheme="minorHAnsi"/>
                <w:b w:val="0"/>
              </w:rPr>
            </w:pPr>
            <w:r w:rsidRPr="00086875">
              <w:rPr>
                <w:rFonts w:asciiTheme="minorHAnsi" w:hAnsiTheme="minorHAnsi"/>
                <w:b w:val="0"/>
              </w:rPr>
              <w:t xml:space="preserve">4. A list of restrictions, conditions, </w:t>
            </w:r>
            <w:r>
              <w:rPr>
                <w:rFonts w:asciiTheme="minorHAnsi" w:hAnsiTheme="minorHAnsi"/>
                <w:b w:val="0"/>
              </w:rPr>
              <w:t xml:space="preserve">or other information set out by </w:t>
            </w:r>
            <w:r w:rsidRPr="00086875">
              <w:rPr>
                <w:rFonts w:asciiTheme="minorHAnsi" w:hAnsiTheme="minorHAnsi"/>
                <w:b w:val="0"/>
              </w:rPr>
              <w:t>the</w:t>
            </w:r>
            <w:r>
              <w:rPr>
                <w:rFonts w:asciiTheme="minorHAnsi" w:hAnsiTheme="minorHAnsi"/>
                <w:b w:val="0"/>
              </w:rPr>
              <w:t xml:space="preserve"> </w:t>
            </w:r>
            <w:r w:rsidRPr="00086875">
              <w:rPr>
                <w:rFonts w:asciiTheme="minorHAnsi" w:hAnsiTheme="minorHAnsi"/>
                <w:b w:val="0"/>
              </w:rPr>
              <w:t>donor.</w:t>
            </w:r>
          </w:p>
          <w:p w14:paraId="284C357F" w14:textId="77777777" w:rsidR="00086875" w:rsidRPr="00086875" w:rsidRDefault="00086875" w:rsidP="00086875">
            <w:pPr>
              <w:pStyle w:val="Default"/>
              <w:rPr>
                <w:rFonts w:asciiTheme="minorHAnsi" w:hAnsiTheme="minorHAnsi"/>
                <w:b w:val="0"/>
              </w:rPr>
            </w:pPr>
            <w:r w:rsidRPr="00086875">
              <w:rPr>
                <w:rFonts w:asciiTheme="minorHAnsi" w:hAnsiTheme="minorHAnsi"/>
                <w:b w:val="0"/>
              </w:rPr>
              <w:t>5. The acquisition date.</w:t>
            </w:r>
          </w:p>
          <w:p w14:paraId="54BC7F6D" w14:textId="0EAD1CE9" w:rsidR="00086875" w:rsidRPr="00086875" w:rsidRDefault="00086875" w:rsidP="00086875">
            <w:pPr>
              <w:pStyle w:val="Default"/>
              <w:rPr>
                <w:rFonts w:asciiTheme="minorHAnsi" w:hAnsiTheme="minorHAnsi"/>
                <w:b w:val="0"/>
              </w:rPr>
            </w:pPr>
            <w:r w:rsidRPr="00086875">
              <w:rPr>
                <w:rFonts w:asciiTheme="minorHAnsi" w:hAnsiTheme="minorHAnsi"/>
                <w:b w:val="0"/>
              </w:rPr>
              <w:t>6. The useful expected life of the donation.</w:t>
            </w:r>
          </w:p>
          <w:p w14:paraId="0318B864" w14:textId="4FD0762F" w:rsidR="00086875" w:rsidRPr="00086875" w:rsidRDefault="00086875" w:rsidP="00086875">
            <w:pPr>
              <w:pStyle w:val="Default"/>
              <w:rPr>
                <w:rFonts w:asciiTheme="minorHAnsi" w:hAnsiTheme="minorHAnsi"/>
                <w:b w:val="0"/>
              </w:rPr>
            </w:pPr>
            <w:r w:rsidRPr="00086875">
              <w:rPr>
                <w:rFonts w:asciiTheme="minorHAnsi" w:hAnsiTheme="minorHAnsi"/>
                <w:b w:val="0"/>
              </w:rPr>
              <w:t>7. A statement explaining the bene</w:t>
            </w:r>
            <w:r>
              <w:rPr>
                <w:rFonts w:asciiTheme="minorHAnsi" w:hAnsiTheme="minorHAnsi"/>
                <w:b w:val="0"/>
              </w:rPr>
              <w:t xml:space="preserve">fits of accepting the donation. </w:t>
            </w:r>
            <w:r w:rsidRPr="00086875">
              <w:rPr>
                <w:rFonts w:asciiTheme="minorHAnsi" w:hAnsiTheme="minorHAnsi"/>
                <w:b w:val="0"/>
              </w:rPr>
              <w:t>You</w:t>
            </w:r>
            <w:r>
              <w:rPr>
                <w:rFonts w:asciiTheme="minorHAnsi" w:hAnsiTheme="minorHAnsi"/>
                <w:b w:val="0"/>
              </w:rPr>
              <w:t xml:space="preserve"> </w:t>
            </w:r>
            <w:r w:rsidRPr="00086875">
              <w:rPr>
                <w:rFonts w:asciiTheme="minorHAnsi" w:hAnsiTheme="minorHAnsi"/>
                <w:b w:val="0"/>
              </w:rPr>
              <w:t>must explain why accepti</w:t>
            </w:r>
            <w:r>
              <w:rPr>
                <w:rFonts w:asciiTheme="minorHAnsi" w:hAnsiTheme="minorHAnsi"/>
                <w:b w:val="0"/>
              </w:rPr>
              <w:t xml:space="preserve">ng the donation is preferred to </w:t>
            </w:r>
            <w:r w:rsidRPr="00086875">
              <w:rPr>
                <w:rFonts w:asciiTheme="minorHAnsi" w:hAnsiTheme="minorHAnsi"/>
                <w:b w:val="0"/>
              </w:rPr>
              <w:t>obtaining the item or service through</w:t>
            </w:r>
            <w:r>
              <w:rPr>
                <w:rFonts w:asciiTheme="minorHAnsi" w:hAnsiTheme="minorHAnsi"/>
                <w:b w:val="0"/>
              </w:rPr>
              <w:t xml:space="preserve"> existing DoD supply </w:t>
            </w:r>
            <w:r w:rsidRPr="00086875">
              <w:rPr>
                <w:rFonts w:asciiTheme="minorHAnsi" w:hAnsiTheme="minorHAnsi"/>
                <w:b w:val="0"/>
              </w:rPr>
              <w:t>channels.</w:t>
            </w:r>
          </w:p>
          <w:p w14:paraId="08BF2122" w14:textId="6335864E" w:rsidR="00086875" w:rsidRPr="00086875" w:rsidRDefault="00086875" w:rsidP="00086875">
            <w:pPr>
              <w:pStyle w:val="Default"/>
              <w:rPr>
                <w:rFonts w:asciiTheme="minorHAnsi" w:hAnsiTheme="minorHAnsi"/>
                <w:b w:val="0"/>
              </w:rPr>
            </w:pPr>
            <w:r w:rsidRPr="00086875">
              <w:rPr>
                <w:rFonts w:asciiTheme="minorHAnsi" w:hAnsiTheme="minorHAnsi"/>
                <w:b w:val="0"/>
              </w:rPr>
              <w:t>8. A unique identifier or data element used to track the same or</w:t>
            </w:r>
            <w:r>
              <w:rPr>
                <w:rFonts w:asciiTheme="minorHAnsi" w:hAnsiTheme="minorHAnsi"/>
                <w:b w:val="0"/>
              </w:rPr>
              <w:t xml:space="preserve"> </w:t>
            </w:r>
            <w:r w:rsidRPr="00086875">
              <w:rPr>
                <w:rFonts w:asciiTheme="minorHAnsi" w:hAnsiTheme="minorHAnsi"/>
                <w:b w:val="0"/>
              </w:rPr>
              <w:t>similar items shipped from different sources.</w:t>
            </w:r>
          </w:p>
          <w:p w14:paraId="121B8C30" w14:textId="40D99874" w:rsidR="00086875" w:rsidRPr="00086875" w:rsidRDefault="00086875" w:rsidP="00086875">
            <w:pPr>
              <w:pStyle w:val="Default"/>
              <w:rPr>
                <w:rFonts w:asciiTheme="minorHAnsi" w:hAnsiTheme="minorHAnsi"/>
                <w:b w:val="0"/>
              </w:rPr>
            </w:pPr>
            <w:r w:rsidRPr="00086875">
              <w:rPr>
                <w:rFonts w:asciiTheme="minorHAnsi" w:hAnsiTheme="minorHAnsi"/>
                <w:b w:val="0"/>
              </w:rPr>
              <w:t>9. The Service and appropriation that bene</w:t>
            </w:r>
            <w:r>
              <w:rPr>
                <w:rFonts w:asciiTheme="minorHAnsi" w:hAnsiTheme="minorHAnsi"/>
                <w:b w:val="0"/>
              </w:rPr>
              <w:t xml:space="preserve">fit from this </w:t>
            </w:r>
            <w:r w:rsidRPr="00086875">
              <w:rPr>
                <w:rFonts w:asciiTheme="minorHAnsi" w:hAnsiTheme="minorHAnsi"/>
                <w:b w:val="0"/>
              </w:rPr>
              <w:t>contribution.</w:t>
            </w:r>
            <w:r>
              <w:rPr>
                <w:rFonts w:asciiTheme="minorHAnsi" w:hAnsiTheme="minorHAnsi"/>
                <w:b w:val="0"/>
              </w:rPr>
              <w:t xml:space="preserve"> </w:t>
            </w:r>
            <w:r w:rsidRPr="00086875">
              <w:rPr>
                <w:rFonts w:asciiTheme="minorHAnsi" w:hAnsiTheme="minorHAnsi"/>
                <w:b w:val="0"/>
              </w:rPr>
              <w:t>Identify the approp</w:t>
            </w:r>
            <w:r>
              <w:rPr>
                <w:rFonts w:asciiTheme="minorHAnsi" w:hAnsiTheme="minorHAnsi"/>
                <w:b w:val="0"/>
              </w:rPr>
              <w:t xml:space="preserve">riation that normally furnishes </w:t>
            </w:r>
            <w:r w:rsidRPr="00086875">
              <w:rPr>
                <w:rFonts w:asciiTheme="minorHAnsi" w:hAnsiTheme="minorHAnsi"/>
                <w:b w:val="0"/>
              </w:rPr>
              <w:t>this asset.</w:t>
            </w:r>
          </w:p>
        </w:tc>
        <w:tc>
          <w:tcPr>
            <w:tcW w:w="3060" w:type="dxa"/>
          </w:tcPr>
          <w:p w14:paraId="121B8C31" w14:textId="73140940" w:rsidR="00020ABF" w:rsidRPr="00F87777" w:rsidRDefault="00F87777" w:rsidP="00020ABF">
            <w:pP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lastRenderedPageBreak/>
              <w:t>Follows G</w:t>
            </w:r>
            <w:r w:rsidR="00BF4950" w:rsidRPr="00F87777">
              <w:rPr>
                <w:sz w:val="24"/>
                <w:szCs w:val="24"/>
              </w:rPr>
              <w:t>uidance.</w:t>
            </w:r>
          </w:p>
        </w:tc>
        <w:tc>
          <w:tcPr>
            <w:tcW w:w="2155" w:type="dxa"/>
          </w:tcPr>
          <w:p w14:paraId="121B8C32" w14:textId="1B31B103" w:rsidR="00020ABF" w:rsidRPr="00F87777" w:rsidRDefault="00F87777" w:rsidP="00020ABF">
            <w:pPr>
              <w:cnfStyle w:val="000000100000" w:firstRow="0" w:lastRow="0" w:firstColumn="0" w:lastColumn="0" w:oddVBand="0" w:evenVBand="0" w:oddHBand="1" w:evenHBand="0" w:firstRowFirstColumn="0" w:firstRowLastColumn="0" w:lastRowFirstColumn="0" w:lastRowLastColumn="0"/>
              <w:rPr>
                <w:sz w:val="24"/>
                <w:szCs w:val="24"/>
              </w:rPr>
            </w:pPr>
            <w:r w:rsidRPr="00F87777">
              <w:rPr>
                <w:sz w:val="24"/>
                <w:szCs w:val="24"/>
              </w:rPr>
              <w:t>Unclear.</w:t>
            </w:r>
          </w:p>
        </w:tc>
        <w:tc>
          <w:tcPr>
            <w:tcW w:w="2165" w:type="dxa"/>
          </w:tcPr>
          <w:p w14:paraId="121B8C33" w14:textId="67C74F0E" w:rsidR="00020ABF" w:rsidRPr="00F87777" w:rsidRDefault="00555046" w:rsidP="00020ABF">
            <w:pPr>
              <w:cnfStyle w:val="000000100000" w:firstRow="0" w:lastRow="0" w:firstColumn="0" w:lastColumn="0" w:oddVBand="0" w:evenVBand="0" w:oddHBand="1" w:evenHBand="0" w:firstRowFirstColumn="0" w:firstRowLastColumn="0" w:lastRowFirstColumn="0" w:lastRowLastColumn="0"/>
              <w:rPr>
                <w:sz w:val="24"/>
                <w:szCs w:val="24"/>
              </w:rPr>
            </w:pPr>
            <w:r w:rsidRPr="00F87777">
              <w:rPr>
                <w:sz w:val="24"/>
                <w:szCs w:val="24"/>
              </w:rPr>
              <w:t>Follows Guidance</w:t>
            </w:r>
            <w:r w:rsidR="00F87777">
              <w:rPr>
                <w:sz w:val="24"/>
                <w:szCs w:val="24"/>
              </w:rPr>
              <w:t>.</w:t>
            </w:r>
          </w:p>
        </w:tc>
        <w:tc>
          <w:tcPr>
            <w:tcW w:w="2070" w:type="dxa"/>
          </w:tcPr>
          <w:p w14:paraId="121B8C34" w14:textId="147A33C5" w:rsidR="00020ABF" w:rsidRPr="00F87777" w:rsidRDefault="00555046" w:rsidP="00020ABF">
            <w:pPr>
              <w:cnfStyle w:val="000000100000" w:firstRow="0" w:lastRow="0" w:firstColumn="0" w:lastColumn="0" w:oddVBand="0" w:evenVBand="0" w:oddHBand="1" w:evenHBand="0" w:firstRowFirstColumn="0" w:firstRowLastColumn="0" w:lastRowFirstColumn="0" w:lastRowLastColumn="0"/>
              <w:rPr>
                <w:sz w:val="24"/>
                <w:szCs w:val="24"/>
              </w:rPr>
            </w:pPr>
            <w:r w:rsidRPr="00F87777">
              <w:rPr>
                <w:sz w:val="24"/>
                <w:szCs w:val="24"/>
              </w:rPr>
              <w:t>Follows Guidance</w:t>
            </w:r>
            <w:r w:rsidR="00F87777">
              <w:rPr>
                <w:sz w:val="24"/>
                <w:szCs w:val="24"/>
              </w:rPr>
              <w:t>.</w:t>
            </w:r>
          </w:p>
        </w:tc>
      </w:tr>
      <w:tr w:rsidR="00020ABF" w:rsidRPr="0076168A" w14:paraId="121B8C3C" w14:textId="77777777" w:rsidTr="00555046">
        <w:tc>
          <w:tcPr>
            <w:cnfStyle w:val="001000000000" w:firstRow="0" w:lastRow="0" w:firstColumn="1" w:lastColumn="0" w:oddVBand="0" w:evenVBand="0" w:oddHBand="0" w:evenHBand="0" w:firstRowFirstColumn="0" w:firstRowLastColumn="0" w:lastRowFirstColumn="0" w:lastRowLastColumn="0"/>
            <w:tcW w:w="5755" w:type="dxa"/>
          </w:tcPr>
          <w:p w14:paraId="40F8D001" w14:textId="77777777" w:rsidR="00395FE0" w:rsidRDefault="00395FE0" w:rsidP="00F41410">
            <w:pPr>
              <w:rPr>
                <w:rFonts w:asciiTheme="minorHAnsi" w:hAnsiTheme="minorHAnsi" w:cs="Times New Roman"/>
                <w:sz w:val="24"/>
                <w:szCs w:val="24"/>
              </w:rPr>
            </w:pPr>
            <w:r>
              <w:rPr>
                <w:rFonts w:asciiTheme="minorHAnsi" w:hAnsiTheme="minorHAnsi" w:cs="Times New Roman"/>
                <w:sz w:val="24"/>
                <w:szCs w:val="24"/>
              </w:rPr>
              <w:lastRenderedPageBreak/>
              <w:t>GAAP 958-605-25 Recognition – Contributions Received.</w:t>
            </w:r>
            <w:bookmarkStart w:id="1" w:name="519BBE7CD90DE047862575AA0033CD99-idd3e10"/>
            <w:bookmarkStart w:id="2" w:name="519BBE7CD90DE047862575AA0033CD99-id25-2"/>
            <w:bookmarkEnd w:id="1"/>
            <w:bookmarkEnd w:id="2"/>
            <w:r>
              <w:rPr>
                <w:rFonts w:asciiTheme="minorHAnsi" w:hAnsiTheme="minorHAnsi" w:cs="Times New Roman"/>
                <w:sz w:val="24"/>
                <w:szCs w:val="24"/>
              </w:rPr>
              <w:t xml:space="preserve"> </w:t>
            </w:r>
          </w:p>
          <w:p w14:paraId="121B8C36" w14:textId="621375E9" w:rsidR="00F41410" w:rsidRPr="00395FE0" w:rsidRDefault="00395FE0" w:rsidP="00F41410">
            <w:pPr>
              <w:rPr>
                <w:rFonts w:asciiTheme="minorHAnsi" w:hAnsiTheme="minorHAnsi" w:cs="Times New Roman"/>
                <w:sz w:val="24"/>
                <w:szCs w:val="24"/>
              </w:rPr>
            </w:pPr>
            <w:r w:rsidRPr="00395FE0">
              <w:rPr>
                <w:rFonts w:asciiTheme="minorHAnsi" w:hAnsiTheme="minorHAnsi" w:cs="Times New Roman"/>
                <w:sz w:val="24"/>
                <w:szCs w:val="24"/>
                <w:lang w:val="en"/>
              </w:rPr>
              <w:t>25-2</w:t>
            </w:r>
            <w:r w:rsidRPr="00395FE0">
              <w:rPr>
                <w:rFonts w:asciiTheme="minorHAnsi" w:hAnsiTheme="minorHAnsi" w:cs="Times New Roman"/>
                <w:b w:val="0"/>
                <w:sz w:val="24"/>
                <w:szCs w:val="24"/>
                <w:lang w:val="en"/>
              </w:rPr>
              <w:t xml:space="preserve"> Except as provided in paragraphs </w:t>
            </w:r>
            <w:bookmarkStart w:id="3" w:name="519BBE7CD90DE047862575AA0033CD99-idSL233"/>
            <w:bookmarkEnd w:id="3"/>
            <w:r>
              <w:rPr>
                <w:rFonts w:asciiTheme="minorHAnsi" w:hAnsiTheme="minorHAnsi" w:cs="Times New Roman"/>
                <w:b w:val="0"/>
                <w:sz w:val="24"/>
                <w:szCs w:val="24"/>
                <w:lang w:val="en"/>
              </w:rPr>
              <w:t xml:space="preserve">958-605-25-16 through 25 </w:t>
            </w:r>
            <w:r w:rsidRPr="00395FE0">
              <w:rPr>
                <w:rFonts w:asciiTheme="minorHAnsi" w:hAnsiTheme="minorHAnsi" w:cs="Times New Roman"/>
                <w:b w:val="0"/>
                <w:sz w:val="24"/>
                <w:szCs w:val="24"/>
                <w:lang w:val="en"/>
              </w:rPr>
              <w:t>18 : ,</w:t>
            </w:r>
            <w:r w:rsidRPr="00395FE0">
              <w:rPr>
                <w:rFonts w:asciiTheme="minorHAnsi" w:hAnsiTheme="minorHAnsi" w:cs="Times New Roman"/>
                <w:b w:val="0"/>
                <w:bCs w:val="0"/>
                <w:sz w:val="24"/>
                <w:szCs w:val="24"/>
                <w:lang w:val="en"/>
              </w:rPr>
              <w:t xml:space="preserve"> contributions </w:t>
            </w:r>
            <w:r w:rsidRPr="00395FE0">
              <w:rPr>
                <w:rFonts w:asciiTheme="minorHAnsi" w:hAnsiTheme="minorHAnsi" w:cs="Times New Roman"/>
                <w:b w:val="0"/>
                <w:sz w:val="24"/>
                <w:szCs w:val="24"/>
                <w:lang w:val="en"/>
              </w:rPr>
              <w:t>received sha</w:t>
            </w:r>
            <w:r>
              <w:rPr>
                <w:rFonts w:asciiTheme="minorHAnsi" w:hAnsiTheme="minorHAnsi" w:cs="Times New Roman"/>
                <w:b w:val="0"/>
                <w:sz w:val="24"/>
                <w:szCs w:val="24"/>
                <w:lang w:val="en"/>
              </w:rPr>
              <w:t xml:space="preserve">ll be recognized as revenues or </w:t>
            </w:r>
            <w:r w:rsidRPr="00395FE0">
              <w:rPr>
                <w:rFonts w:asciiTheme="minorHAnsi" w:hAnsiTheme="minorHAnsi" w:cs="Times New Roman"/>
                <w:b w:val="0"/>
                <w:sz w:val="24"/>
                <w:szCs w:val="24"/>
                <w:lang w:val="en"/>
              </w:rPr>
              <w:t>gains in the period received and as as</w:t>
            </w:r>
            <w:r>
              <w:rPr>
                <w:rFonts w:asciiTheme="minorHAnsi" w:hAnsiTheme="minorHAnsi" w:cs="Times New Roman"/>
                <w:b w:val="0"/>
                <w:sz w:val="24"/>
                <w:szCs w:val="24"/>
                <w:lang w:val="en"/>
              </w:rPr>
              <w:t xml:space="preserve">sets, decreases of liabilities, </w:t>
            </w:r>
            <w:r w:rsidRPr="00395FE0">
              <w:rPr>
                <w:rFonts w:asciiTheme="minorHAnsi" w:hAnsiTheme="minorHAnsi" w:cs="Times New Roman"/>
                <w:b w:val="0"/>
                <w:sz w:val="24"/>
                <w:szCs w:val="24"/>
                <w:lang w:val="en"/>
              </w:rPr>
              <w:t>or expenses depending on the form of the benefits received.</w:t>
            </w:r>
            <w:r>
              <w:rPr>
                <w:rFonts w:asciiTheme="minorHAnsi" w:hAnsiTheme="minorHAnsi" w:cs="Times New Roman"/>
                <w:b w:val="0"/>
                <w:sz w:val="24"/>
                <w:szCs w:val="24"/>
                <w:lang w:val="en"/>
              </w:rPr>
              <w:t xml:space="preserve"> The classification of </w:t>
            </w:r>
            <w:r w:rsidRPr="00395FE0">
              <w:rPr>
                <w:rFonts w:asciiTheme="minorHAnsi" w:hAnsiTheme="minorHAnsi" w:cs="Times New Roman"/>
                <w:b w:val="0"/>
                <w:sz w:val="24"/>
                <w:szCs w:val="24"/>
                <w:lang w:val="en"/>
              </w:rPr>
              <w:t>contributions received as reven</w:t>
            </w:r>
            <w:r>
              <w:rPr>
                <w:rFonts w:asciiTheme="minorHAnsi" w:hAnsiTheme="minorHAnsi" w:cs="Times New Roman"/>
                <w:b w:val="0"/>
                <w:sz w:val="24"/>
                <w:szCs w:val="24"/>
                <w:lang w:val="en"/>
              </w:rPr>
              <w:t xml:space="preserve">ues or gains depends on whether </w:t>
            </w:r>
            <w:r w:rsidRPr="00395FE0">
              <w:rPr>
                <w:rFonts w:asciiTheme="minorHAnsi" w:hAnsiTheme="minorHAnsi" w:cs="Times New Roman"/>
                <w:b w:val="0"/>
                <w:sz w:val="24"/>
                <w:szCs w:val="24"/>
                <w:lang w:val="en"/>
              </w:rPr>
              <w:t>the transactions are part of the</w:t>
            </w:r>
            <w:r>
              <w:rPr>
                <w:rFonts w:asciiTheme="minorHAnsi" w:hAnsiTheme="minorHAnsi" w:cs="Times New Roman"/>
                <w:b w:val="0"/>
                <w:sz w:val="24"/>
                <w:szCs w:val="24"/>
                <w:lang w:val="en"/>
              </w:rPr>
              <w:t xml:space="preserve"> NFP's ongoing major or central </w:t>
            </w:r>
            <w:r w:rsidRPr="00395FE0">
              <w:rPr>
                <w:rFonts w:asciiTheme="minorHAnsi" w:hAnsiTheme="minorHAnsi" w:cs="Times New Roman"/>
                <w:b w:val="0"/>
                <w:sz w:val="24"/>
                <w:szCs w:val="24"/>
                <w:lang w:val="en"/>
              </w:rPr>
              <w:t>activities (revenues), or are peripheral or incidental to the</w:t>
            </w:r>
            <w:r>
              <w:rPr>
                <w:rFonts w:asciiTheme="minorHAnsi" w:hAnsiTheme="minorHAnsi" w:cs="Times New Roman"/>
                <w:b w:val="0"/>
                <w:sz w:val="24"/>
                <w:szCs w:val="24"/>
                <w:lang w:val="en"/>
              </w:rPr>
              <w:t xml:space="preserve"> NFP </w:t>
            </w:r>
            <w:r w:rsidRPr="00395FE0">
              <w:rPr>
                <w:rFonts w:asciiTheme="minorHAnsi" w:hAnsiTheme="minorHAnsi" w:cs="Times New Roman"/>
                <w:b w:val="0"/>
                <w:sz w:val="24"/>
                <w:szCs w:val="24"/>
                <w:lang w:val="en"/>
              </w:rPr>
              <w:t>(gains). A contribution made a</w:t>
            </w:r>
            <w:r>
              <w:rPr>
                <w:rFonts w:asciiTheme="minorHAnsi" w:hAnsiTheme="minorHAnsi" w:cs="Times New Roman"/>
                <w:b w:val="0"/>
                <w:sz w:val="24"/>
                <w:szCs w:val="24"/>
                <w:lang w:val="en"/>
              </w:rPr>
              <w:t xml:space="preserve">nd a corresponding contribution </w:t>
            </w:r>
            <w:r w:rsidRPr="00395FE0">
              <w:rPr>
                <w:rFonts w:asciiTheme="minorHAnsi" w:hAnsiTheme="minorHAnsi" w:cs="Times New Roman"/>
                <w:b w:val="0"/>
                <w:sz w:val="24"/>
                <w:szCs w:val="24"/>
                <w:lang w:val="en"/>
              </w:rPr>
              <w:t>received generally are recog</w:t>
            </w:r>
            <w:r>
              <w:rPr>
                <w:rFonts w:asciiTheme="minorHAnsi" w:hAnsiTheme="minorHAnsi" w:cs="Times New Roman"/>
                <w:b w:val="0"/>
                <w:sz w:val="24"/>
                <w:szCs w:val="24"/>
                <w:lang w:val="en"/>
              </w:rPr>
              <w:t xml:space="preserve">nized by both the donor and the </w:t>
            </w:r>
            <w:r w:rsidRPr="00395FE0">
              <w:rPr>
                <w:rFonts w:asciiTheme="minorHAnsi" w:hAnsiTheme="minorHAnsi" w:cs="Times New Roman"/>
                <w:b w:val="0"/>
                <w:sz w:val="24"/>
                <w:szCs w:val="24"/>
                <w:lang w:val="en"/>
              </w:rPr>
              <w:t>donee at the same time, that is, up</w:t>
            </w:r>
            <w:r>
              <w:rPr>
                <w:rFonts w:asciiTheme="minorHAnsi" w:hAnsiTheme="minorHAnsi" w:cs="Times New Roman"/>
                <w:b w:val="0"/>
                <w:sz w:val="24"/>
                <w:szCs w:val="24"/>
                <w:lang w:val="en"/>
              </w:rPr>
              <w:t xml:space="preserve">on occurrence of the underlying </w:t>
            </w:r>
            <w:r w:rsidRPr="00395FE0">
              <w:rPr>
                <w:rFonts w:asciiTheme="minorHAnsi" w:hAnsiTheme="minorHAnsi" w:cs="Times New Roman"/>
                <w:b w:val="0"/>
                <w:sz w:val="24"/>
                <w:szCs w:val="24"/>
                <w:lang w:val="en"/>
              </w:rPr>
              <w:t>event—the</w:t>
            </w:r>
            <w:bookmarkStart w:id="4" w:name="519BBE7CD90DE047862575AA0033CD99-idSL245"/>
            <w:bookmarkEnd w:id="4"/>
            <w:r w:rsidRPr="0069734A">
              <w:rPr>
                <w:rFonts w:asciiTheme="minorHAnsi" w:hAnsiTheme="minorHAnsi" w:cs="Times New Roman"/>
                <w:b w:val="0"/>
                <w:bCs w:val="0"/>
                <w:sz w:val="24"/>
                <w:szCs w:val="24"/>
                <w:lang w:val="en"/>
              </w:rPr>
              <w:t xml:space="preserve"> nonreciprocal transfer </w:t>
            </w:r>
            <w:r w:rsidRPr="00395FE0">
              <w:rPr>
                <w:rFonts w:asciiTheme="minorHAnsi" w:hAnsiTheme="minorHAnsi" w:cs="Times New Roman"/>
                <w:b w:val="0"/>
                <w:sz w:val="24"/>
                <w:szCs w:val="24"/>
                <w:lang w:val="en"/>
              </w:rPr>
              <w:t>of an economic benefit.</w:t>
            </w:r>
            <w:r>
              <w:rPr>
                <w:rFonts w:asciiTheme="minorHAnsi" w:hAnsiTheme="minorHAnsi" w:cs="Times New Roman"/>
                <w:b w:val="0"/>
                <w:sz w:val="24"/>
                <w:szCs w:val="24"/>
                <w:lang w:val="en"/>
              </w:rPr>
              <w:t xml:space="preserve"> </w:t>
            </w:r>
            <w:r w:rsidR="00020ABF" w:rsidRPr="00395FE0">
              <w:rPr>
                <w:rFonts w:asciiTheme="minorHAnsi" w:hAnsiTheme="minorHAnsi" w:cs="Times New Roman"/>
                <w:b w:val="0"/>
                <w:sz w:val="24"/>
                <w:szCs w:val="24"/>
              </w:rPr>
              <w:t xml:space="preserve">  </w:t>
            </w:r>
          </w:p>
          <w:p w14:paraId="75B26876" w14:textId="77777777" w:rsidR="0069734A" w:rsidRDefault="0069734A" w:rsidP="00F41410">
            <w:pPr>
              <w:rPr>
                <w:rFonts w:asciiTheme="minorHAnsi" w:hAnsiTheme="minorHAnsi" w:cs="Times New Roman"/>
                <w:sz w:val="24"/>
                <w:szCs w:val="24"/>
                <w:highlight w:val="yellow"/>
              </w:rPr>
            </w:pPr>
          </w:p>
          <w:p w14:paraId="2FFDA9A0" w14:textId="5BFC360D" w:rsidR="008C1BBF" w:rsidRDefault="0069734A" w:rsidP="00F41410">
            <w:pPr>
              <w:rPr>
                <w:rFonts w:asciiTheme="minorHAnsi" w:hAnsiTheme="minorHAnsi" w:cs="Times New Roman"/>
                <w:sz w:val="24"/>
                <w:szCs w:val="24"/>
              </w:rPr>
            </w:pPr>
            <w:r w:rsidRPr="0069734A">
              <w:rPr>
                <w:rFonts w:asciiTheme="minorHAnsi" w:hAnsiTheme="minorHAnsi" w:cs="Times New Roman"/>
                <w:sz w:val="24"/>
                <w:szCs w:val="24"/>
              </w:rPr>
              <w:t>958-605-25-16 provides guidance for Contributed Services.</w:t>
            </w:r>
          </w:p>
          <w:p w14:paraId="3C840E7C" w14:textId="77777777" w:rsidR="0069734A" w:rsidRDefault="0069734A" w:rsidP="00F41410">
            <w:pPr>
              <w:rPr>
                <w:rFonts w:asciiTheme="minorHAnsi" w:hAnsiTheme="minorHAnsi" w:cs="Times New Roman"/>
                <w:sz w:val="24"/>
                <w:szCs w:val="24"/>
              </w:rPr>
            </w:pPr>
          </w:p>
          <w:p w14:paraId="121B8C37" w14:textId="4F68CABB" w:rsidR="00020ABF" w:rsidRPr="0076168A" w:rsidRDefault="0069734A" w:rsidP="0069734A">
            <w:pPr>
              <w:rPr>
                <w:rFonts w:asciiTheme="minorHAnsi" w:hAnsiTheme="minorHAnsi" w:cs="Times New Roman"/>
                <w:b w:val="0"/>
                <w:sz w:val="24"/>
                <w:szCs w:val="24"/>
              </w:rPr>
            </w:pPr>
            <w:r>
              <w:rPr>
                <w:rFonts w:asciiTheme="minorHAnsi" w:hAnsiTheme="minorHAnsi" w:cs="Times New Roman"/>
                <w:sz w:val="24"/>
                <w:szCs w:val="24"/>
              </w:rPr>
              <w:t>958-605-25-18 provides guidance for Works of Art, Historical Treasures, and Similar Items.</w:t>
            </w:r>
          </w:p>
        </w:tc>
        <w:tc>
          <w:tcPr>
            <w:tcW w:w="3060" w:type="dxa"/>
          </w:tcPr>
          <w:p w14:paraId="121B8C38" w14:textId="418359BC" w:rsidR="00020ABF" w:rsidRPr="008E0834" w:rsidRDefault="008E0834" w:rsidP="00020ABF">
            <w:pP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Follows G</w:t>
            </w:r>
            <w:r w:rsidR="00BF4950" w:rsidRPr="008E0834">
              <w:rPr>
                <w:sz w:val="24"/>
                <w:szCs w:val="24"/>
              </w:rPr>
              <w:t>uidance.</w:t>
            </w:r>
          </w:p>
        </w:tc>
        <w:tc>
          <w:tcPr>
            <w:tcW w:w="2155" w:type="dxa"/>
          </w:tcPr>
          <w:p w14:paraId="121B8C39" w14:textId="0E14C541" w:rsidR="00020ABF" w:rsidRPr="008E0834" w:rsidRDefault="00555046" w:rsidP="00020ABF">
            <w:pPr>
              <w:cnfStyle w:val="000000000000" w:firstRow="0" w:lastRow="0" w:firstColumn="0" w:lastColumn="0" w:oddVBand="0" w:evenVBand="0" w:oddHBand="0" w:evenHBand="0" w:firstRowFirstColumn="0" w:firstRowLastColumn="0" w:lastRowFirstColumn="0" w:lastRowLastColumn="0"/>
              <w:rPr>
                <w:sz w:val="24"/>
                <w:szCs w:val="24"/>
              </w:rPr>
            </w:pPr>
            <w:r w:rsidRPr="008E0834">
              <w:rPr>
                <w:sz w:val="24"/>
                <w:szCs w:val="24"/>
              </w:rPr>
              <w:t>Unclear</w:t>
            </w:r>
            <w:r w:rsidR="00F87777" w:rsidRPr="008E0834">
              <w:rPr>
                <w:sz w:val="24"/>
                <w:szCs w:val="24"/>
              </w:rPr>
              <w:t>.</w:t>
            </w:r>
          </w:p>
        </w:tc>
        <w:tc>
          <w:tcPr>
            <w:tcW w:w="2165" w:type="dxa"/>
          </w:tcPr>
          <w:p w14:paraId="121B8C3A" w14:textId="011C88EE" w:rsidR="00020ABF" w:rsidRPr="008E0834" w:rsidRDefault="008E0834" w:rsidP="00020ABF">
            <w:pP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Follows G</w:t>
            </w:r>
            <w:r w:rsidR="00555046" w:rsidRPr="008E0834">
              <w:rPr>
                <w:sz w:val="24"/>
                <w:szCs w:val="24"/>
              </w:rPr>
              <w:t>uidance</w:t>
            </w:r>
            <w:r>
              <w:rPr>
                <w:sz w:val="24"/>
                <w:szCs w:val="24"/>
              </w:rPr>
              <w:t>.</w:t>
            </w:r>
          </w:p>
        </w:tc>
        <w:tc>
          <w:tcPr>
            <w:tcW w:w="2070" w:type="dxa"/>
          </w:tcPr>
          <w:p w14:paraId="121B8C3B" w14:textId="0A638DF1" w:rsidR="00020ABF" w:rsidRPr="008E0834" w:rsidRDefault="008E0834" w:rsidP="00020ABF">
            <w:pP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Follows G</w:t>
            </w:r>
            <w:r w:rsidR="00555046" w:rsidRPr="008E0834">
              <w:rPr>
                <w:sz w:val="24"/>
                <w:szCs w:val="24"/>
              </w:rPr>
              <w:t>uidance</w:t>
            </w:r>
            <w:r>
              <w:rPr>
                <w:sz w:val="24"/>
                <w:szCs w:val="24"/>
              </w:rPr>
              <w:t>.</w:t>
            </w:r>
          </w:p>
        </w:tc>
      </w:tr>
      <w:tr w:rsidR="00020ABF" w:rsidRPr="0076168A" w14:paraId="121B8C42" w14:textId="77777777" w:rsidTr="005550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55" w:type="dxa"/>
          </w:tcPr>
          <w:p w14:paraId="1EBEEDE8" w14:textId="488ABCB0" w:rsidR="00020ABF" w:rsidRDefault="00020ABF" w:rsidP="000E5196">
            <w:pPr>
              <w:autoSpaceDE w:val="0"/>
              <w:autoSpaceDN w:val="0"/>
              <w:adjustRightInd w:val="0"/>
              <w:rPr>
                <w:rFonts w:asciiTheme="minorHAnsi" w:hAnsiTheme="minorHAnsi" w:cs="Times New Roman"/>
                <w:b w:val="0"/>
                <w:sz w:val="24"/>
                <w:szCs w:val="24"/>
              </w:rPr>
            </w:pPr>
            <w:r w:rsidRPr="0076168A">
              <w:rPr>
                <w:rFonts w:asciiTheme="minorHAnsi" w:hAnsiTheme="minorHAnsi" w:cs="Times New Roman"/>
                <w:sz w:val="24"/>
                <w:szCs w:val="24"/>
              </w:rPr>
              <w:t>FASAB Handbook version 1</w:t>
            </w:r>
            <w:r w:rsidR="00B84B4D">
              <w:rPr>
                <w:rFonts w:asciiTheme="minorHAnsi" w:hAnsiTheme="minorHAnsi" w:cs="Times New Roman"/>
                <w:sz w:val="24"/>
                <w:szCs w:val="24"/>
              </w:rPr>
              <w:t>6</w:t>
            </w:r>
            <w:r w:rsidRPr="0076168A">
              <w:rPr>
                <w:rFonts w:asciiTheme="minorHAnsi" w:hAnsiTheme="minorHAnsi" w:cs="Times New Roman"/>
                <w:sz w:val="24"/>
                <w:szCs w:val="24"/>
              </w:rPr>
              <w:t xml:space="preserve">:  </w:t>
            </w:r>
            <w:r w:rsidR="000E5196" w:rsidRPr="000E5196">
              <w:rPr>
                <w:rFonts w:asciiTheme="minorHAnsi" w:hAnsiTheme="minorHAnsi" w:cs="Times New Roman"/>
                <w:sz w:val="24"/>
                <w:szCs w:val="24"/>
              </w:rPr>
              <w:t xml:space="preserve">62. </w:t>
            </w:r>
            <w:r w:rsidR="001C7960">
              <w:rPr>
                <w:rFonts w:asciiTheme="minorHAnsi" w:hAnsiTheme="minorHAnsi" w:cs="Times New Roman"/>
                <w:b w:val="0"/>
                <w:sz w:val="24"/>
                <w:szCs w:val="24"/>
              </w:rPr>
              <w:t xml:space="preserve">Donations are contributions </w:t>
            </w:r>
            <w:r w:rsidR="000E5196" w:rsidRPr="001C7960">
              <w:rPr>
                <w:rFonts w:asciiTheme="minorHAnsi" w:hAnsiTheme="minorHAnsi" w:cs="Times New Roman"/>
                <w:b w:val="0"/>
                <w:sz w:val="24"/>
                <w:szCs w:val="24"/>
              </w:rPr>
              <w:t>to the government, i.e., voluntary gifts of resources to a</w:t>
            </w:r>
            <w:r w:rsidR="001C7960">
              <w:rPr>
                <w:rFonts w:asciiTheme="minorHAnsi" w:hAnsiTheme="minorHAnsi" w:cs="Times New Roman"/>
                <w:b w:val="0"/>
                <w:sz w:val="24"/>
                <w:szCs w:val="24"/>
              </w:rPr>
              <w:t xml:space="preserve"> </w:t>
            </w:r>
            <w:r w:rsidR="000E5196" w:rsidRPr="001C7960">
              <w:rPr>
                <w:rFonts w:asciiTheme="minorHAnsi" w:hAnsiTheme="minorHAnsi" w:cs="Times New Roman"/>
                <w:b w:val="0"/>
                <w:sz w:val="24"/>
                <w:szCs w:val="24"/>
              </w:rPr>
              <w:t>government entity by a nonfede</w:t>
            </w:r>
            <w:r w:rsidR="001C7960">
              <w:rPr>
                <w:rFonts w:asciiTheme="minorHAnsi" w:hAnsiTheme="minorHAnsi" w:cs="Times New Roman"/>
                <w:b w:val="0"/>
                <w:sz w:val="24"/>
                <w:szCs w:val="24"/>
              </w:rPr>
              <w:t xml:space="preserve">ral entity. Donations may be </w:t>
            </w:r>
            <w:r w:rsidR="000E5196" w:rsidRPr="001C7960">
              <w:rPr>
                <w:rFonts w:asciiTheme="minorHAnsi" w:hAnsiTheme="minorHAnsi" w:cs="Times New Roman"/>
                <w:b w:val="0"/>
                <w:sz w:val="24"/>
                <w:szCs w:val="24"/>
              </w:rPr>
              <w:t>financial resources, such as</w:t>
            </w:r>
            <w:r w:rsidR="001C7960">
              <w:rPr>
                <w:rFonts w:asciiTheme="minorHAnsi" w:hAnsiTheme="minorHAnsi" w:cs="Times New Roman"/>
                <w:b w:val="0"/>
                <w:sz w:val="24"/>
                <w:szCs w:val="24"/>
              </w:rPr>
              <w:t xml:space="preserve"> </w:t>
            </w:r>
            <w:r w:rsidR="000E5196" w:rsidRPr="001C7960">
              <w:rPr>
                <w:rFonts w:asciiTheme="minorHAnsi" w:hAnsiTheme="minorHAnsi" w:cs="Times New Roman"/>
                <w:b w:val="0"/>
                <w:sz w:val="24"/>
                <w:szCs w:val="24"/>
              </w:rPr>
              <w:t>cash</w:t>
            </w:r>
            <w:r w:rsidR="001C7960">
              <w:rPr>
                <w:rFonts w:asciiTheme="minorHAnsi" w:hAnsiTheme="minorHAnsi" w:cs="Times New Roman"/>
                <w:b w:val="0"/>
                <w:sz w:val="24"/>
                <w:szCs w:val="24"/>
              </w:rPr>
              <w:t xml:space="preserve"> or securities, or nonfinancial </w:t>
            </w:r>
            <w:r w:rsidR="000E5196" w:rsidRPr="001C7960">
              <w:rPr>
                <w:rFonts w:asciiTheme="minorHAnsi" w:hAnsiTheme="minorHAnsi" w:cs="Times New Roman"/>
                <w:b w:val="0"/>
                <w:sz w:val="24"/>
                <w:szCs w:val="24"/>
              </w:rPr>
              <w:t>resources such as land or buildings. Revenue arising</w:t>
            </w:r>
            <w:r w:rsidR="001C7960">
              <w:rPr>
                <w:rFonts w:asciiTheme="minorHAnsi" w:hAnsiTheme="minorHAnsi" w:cs="Times New Roman"/>
                <w:b w:val="0"/>
                <w:sz w:val="24"/>
                <w:szCs w:val="24"/>
              </w:rPr>
              <w:t xml:space="preserve"> from </w:t>
            </w:r>
            <w:r w:rsidR="000E5196" w:rsidRPr="001C7960">
              <w:rPr>
                <w:rFonts w:asciiTheme="minorHAnsi" w:hAnsiTheme="minorHAnsi" w:cs="Times New Roman"/>
                <w:b w:val="0"/>
                <w:sz w:val="24"/>
                <w:szCs w:val="24"/>
              </w:rPr>
              <w:t>donations should be recognized</w:t>
            </w:r>
            <w:r w:rsidR="001C7960">
              <w:rPr>
                <w:rFonts w:asciiTheme="minorHAnsi" w:hAnsiTheme="minorHAnsi" w:cs="Times New Roman"/>
                <w:b w:val="0"/>
                <w:sz w:val="24"/>
                <w:szCs w:val="24"/>
              </w:rPr>
              <w:t xml:space="preserve"> for those inflows of resources </w:t>
            </w:r>
            <w:r w:rsidR="000E5196" w:rsidRPr="001C7960">
              <w:rPr>
                <w:rFonts w:asciiTheme="minorHAnsi" w:hAnsiTheme="minorHAnsi" w:cs="Times New Roman"/>
                <w:b w:val="0"/>
                <w:sz w:val="24"/>
                <w:szCs w:val="24"/>
              </w:rPr>
              <w:t>which meet recognition</w:t>
            </w:r>
            <w:r w:rsidR="001C7960">
              <w:rPr>
                <w:rFonts w:asciiTheme="minorHAnsi" w:hAnsiTheme="minorHAnsi" w:cs="Times New Roman"/>
                <w:b w:val="0"/>
                <w:sz w:val="24"/>
                <w:szCs w:val="24"/>
              </w:rPr>
              <w:t xml:space="preserve"> </w:t>
            </w:r>
            <w:r w:rsidR="000E5196" w:rsidRPr="001C7960">
              <w:rPr>
                <w:rFonts w:asciiTheme="minorHAnsi" w:hAnsiTheme="minorHAnsi" w:cs="Times New Roman"/>
                <w:b w:val="0"/>
                <w:sz w:val="24"/>
                <w:szCs w:val="24"/>
              </w:rPr>
              <w:t xml:space="preserve">criteria for assets </w:t>
            </w:r>
            <w:r w:rsidR="001C7960">
              <w:rPr>
                <w:rFonts w:asciiTheme="minorHAnsi" w:hAnsiTheme="minorHAnsi" w:cs="Times New Roman"/>
                <w:b w:val="0"/>
                <w:sz w:val="24"/>
                <w:szCs w:val="24"/>
              </w:rPr>
              <w:t xml:space="preserve">and should be </w:t>
            </w:r>
            <w:r w:rsidR="000E5196" w:rsidRPr="001C7960">
              <w:rPr>
                <w:rFonts w:asciiTheme="minorHAnsi" w:hAnsiTheme="minorHAnsi" w:cs="Times New Roman"/>
                <w:b w:val="0"/>
                <w:sz w:val="24"/>
                <w:szCs w:val="24"/>
              </w:rPr>
              <w:t>measured at the estimated fair value of the contribution.</w:t>
            </w:r>
          </w:p>
          <w:p w14:paraId="0D758B66" w14:textId="7B72832C" w:rsidR="001C7960" w:rsidRDefault="001C7960" w:rsidP="000E5196">
            <w:pPr>
              <w:autoSpaceDE w:val="0"/>
              <w:autoSpaceDN w:val="0"/>
              <w:adjustRightInd w:val="0"/>
              <w:rPr>
                <w:rFonts w:asciiTheme="minorHAnsi" w:hAnsiTheme="minorHAnsi" w:cs="Times New Roman"/>
                <w:b w:val="0"/>
                <w:sz w:val="24"/>
                <w:szCs w:val="24"/>
              </w:rPr>
            </w:pPr>
          </w:p>
          <w:p w14:paraId="121B8C3D" w14:textId="7972BF5C" w:rsidR="001C7960" w:rsidRPr="001C7960" w:rsidRDefault="001C7960" w:rsidP="001C7960">
            <w:pPr>
              <w:autoSpaceDE w:val="0"/>
              <w:autoSpaceDN w:val="0"/>
              <w:adjustRightInd w:val="0"/>
              <w:rPr>
                <w:rFonts w:asciiTheme="minorHAnsi" w:hAnsiTheme="minorHAnsi" w:cs="Times New Roman"/>
                <w:b w:val="0"/>
                <w:sz w:val="24"/>
                <w:szCs w:val="24"/>
              </w:rPr>
            </w:pPr>
            <w:r w:rsidRPr="001C7960">
              <w:rPr>
                <w:rFonts w:asciiTheme="minorHAnsi" w:hAnsiTheme="minorHAnsi" w:cs="Times New Roman"/>
                <w:sz w:val="24"/>
                <w:szCs w:val="24"/>
              </w:rPr>
              <w:t xml:space="preserve">30. </w:t>
            </w:r>
            <w:r w:rsidRPr="001C7960">
              <w:rPr>
                <w:rFonts w:asciiTheme="minorHAnsi" w:hAnsiTheme="minorHAnsi" w:cs="Times New Roman"/>
                <w:b w:val="0"/>
                <w:sz w:val="24"/>
                <w:szCs w:val="24"/>
              </w:rPr>
              <w:t xml:space="preserve">The cost of general </w:t>
            </w:r>
            <w:r>
              <w:rPr>
                <w:rFonts w:asciiTheme="minorHAnsi" w:hAnsiTheme="minorHAnsi" w:cs="Times New Roman"/>
                <w:b w:val="0"/>
                <w:sz w:val="24"/>
                <w:szCs w:val="24"/>
              </w:rPr>
              <w:t xml:space="preserve">PP&amp;E acquired through donation, </w:t>
            </w:r>
            <w:r w:rsidRPr="001C7960">
              <w:rPr>
                <w:rFonts w:asciiTheme="minorHAnsi" w:hAnsiTheme="minorHAnsi" w:cs="Times New Roman"/>
                <w:b w:val="0"/>
                <w:sz w:val="24"/>
                <w:szCs w:val="24"/>
              </w:rPr>
              <w:t>devise,</w:t>
            </w:r>
            <w:r>
              <w:rPr>
                <w:rFonts w:asciiTheme="minorHAnsi" w:hAnsiTheme="minorHAnsi" w:cs="Times New Roman"/>
                <w:b w:val="0"/>
                <w:sz w:val="24"/>
                <w:szCs w:val="24"/>
              </w:rPr>
              <w:t xml:space="preserve"> </w:t>
            </w:r>
            <w:r w:rsidRPr="001C7960">
              <w:rPr>
                <w:rFonts w:asciiTheme="minorHAnsi" w:hAnsiTheme="minorHAnsi" w:cs="Times New Roman"/>
                <w:b w:val="0"/>
                <w:sz w:val="24"/>
                <w:szCs w:val="24"/>
              </w:rPr>
              <w:t>or judicial process</w:t>
            </w:r>
            <w:r>
              <w:rPr>
                <w:rFonts w:asciiTheme="minorHAnsi" w:hAnsiTheme="minorHAnsi" w:cs="Times New Roman"/>
                <w:b w:val="0"/>
                <w:sz w:val="24"/>
                <w:szCs w:val="24"/>
              </w:rPr>
              <w:t xml:space="preserve"> </w:t>
            </w:r>
            <w:r w:rsidRPr="001C7960">
              <w:rPr>
                <w:rFonts w:asciiTheme="minorHAnsi" w:hAnsiTheme="minorHAnsi" w:cs="Times New Roman"/>
                <w:b w:val="0"/>
                <w:sz w:val="24"/>
                <w:szCs w:val="24"/>
              </w:rPr>
              <w:t>excluding forfeit</w:t>
            </w:r>
            <w:r>
              <w:rPr>
                <w:rFonts w:asciiTheme="minorHAnsi" w:hAnsiTheme="minorHAnsi" w:cs="Times New Roman"/>
                <w:b w:val="0"/>
                <w:sz w:val="24"/>
                <w:szCs w:val="24"/>
              </w:rPr>
              <w:t xml:space="preserve">ure (See paragraph 33) shall be </w:t>
            </w:r>
            <w:r w:rsidRPr="001C7960">
              <w:rPr>
                <w:rFonts w:asciiTheme="minorHAnsi" w:hAnsiTheme="minorHAnsi" w:cs="Times New Roman"/>
                <w:b w:val="0"/>
                <w:sz w:val="24"/>
                <w:szCs w:val="24"/>
              </w:rPr>
              <w:t>estimated fair value at the time acquired by</w:t>
            </w:r>
            <w:r>
              <w:rPr>
                <w:rFonts w:asciiTheme="minorHAnsi" w:hAnsiTheme="minorHAnsi" w:cs="Times New Roman"/>
                <w:b w:val="0"/>
                <w:sz w:val="24"/>
                <w:szCs w:val="24"/>
              </w:rPr>
              <w:t xml:space="preserve"> </w:t>
            </w:r>
            <w:r w:rsidRPr="001C7960">
              <w:rPr>
                <w:rFonts w:asciiTheme="minorHAnsi" w:hAnsiTheme="minorHAnsi" w:cs="Times New Roman"/>
                <w:b w:val="0"/>
                <w:sz w:val="24"/>
                <w:szCs w:val="24"/>
              </w:rPr>
              <w:t>the government.</w:t>
            </w:r>
            <w:r w:rsidR="00CC0A8E">
              <w:rPr>
                <w:rFonts w:asciiTheme="minorHAnsi" w:hAnsiTheme="minorHAnsi" w:cs="Times New Roman"/>
                <w:b w:val="0"/>
                <w:sz w:val="24"/>
                <w:szCs w:val="24"/>
              </w:rPr>
              <w:t xml:space="preserve"> Exceptions are made for Heritage Assets and Stewardship Land.</w:t>
            </w:r>
          </w:p>
        </w:tc>
        <w:tc>
          <w:tcPr>
            <w:tcW w:w="3060" w:type="dxa"/>
          </w:tcPr>
          <w:p w14:paraId="121B8C3E" w14:textId="7BCE8F33" w:rsidR="00020ABF" w:rsidRPr="008E0834" w:rsidRDefault="008E0834" w:rsidP="00020ABF">
            <w:pPr>
              <w:cnfStyle w:val="000000100000" w:firstRow="0" w:lastRow="0" w:firstColumn="0" w:lastColumn="0" w:oddVBand="0" w:evenVBand="0" w:oddHBand="1" w:evenHBand="0" w:firstRowFirstColumn="0" w:firstRowLastColumn="0" w:lastRowFirstColumn="0" w:lastRowLastColumn="0"/>
              <w:rPr>
                <w:sz w:val="24"/>
                <w:szCs w:val="24"/>
              </w:rPr>
            </w:pPr>
            <w:r w:rsidRPr="008E0834">
              <w:rPr>
                <w:sz w:val="24"/>
                <w:szCs w:val="24"/>
              </w:rPr>
              <w:t>Follows G</w:t>
            </w:r>
            <w:r w:rsidR="00BF4950" w:rsidRPr="008E0834">
              <w:rPr>
                <w:sz w:val="24"/>
                <w:szCs w:val="24"/>
              </w:rPr>
              <w:t>uidance.</w:t>
            </w:r>
          </w:p>
        </w:tc>
        <w:tc>
          <w:tcPr>
            <w:tcW w:w="2155" w:type="dxa"/>
          </w:tcPr>
          <w:p w14:paraId="121B8C3F" w14:textId="424F1776" w:rsidR="00020ABF" w:rsidRPr="008E0834" w:rsidRDefault="00555046" w:rsidP="00020ABF">
            <w:pPr>
              <w:cnfStyle w:val="000000100000" w:firstRow="0" w:lastRow="0" w:firstColumn="0" w:lastColumn="0" w:oddVBand="0" w:evenVBand="0" w:oddHBand="1" w:evenHBand="0" w:firstRowFirstColumn="0" w:firstRowLastColumn="0" w:lastRowFirstColumn="0" w:lastRowLastColumn="0"/>
              <w:rPr>
                <w:sz w:val="24"/>
                <w:szCs w:val="24"/>
              </w:rPr>
            </w:pPr>
            <w:r w:rsidRPr="008E0834">
              <w:rPr>
                <w:sz w:val="24"/>
                <w:szCs w:val="24"/>
              </w:rPr>
              <w:t>Unclear</w:t>
            </w:r>
            <w:r w:rsidR="00BF4950" w:rsidRPr="008E0834">
              <w:rPr>
                <w:sz w:val="24"/>
                <w:szCs w:val="24"/>
              </w:rPr>
              <w:t>.</w:t>
            </w:r>
          </w:p>
        </w:tc>
        <w:tc>
          <w:tcPr>
            <w:tcW w:w="2165" w:type="dxa"/>
          </w:tcPr>
          <w:p w14:paraId="121B8C40" w14:textId="35594F30" w:rsidR="00020ABF" w:rsidRPr="008E0834" w:rsidRDefault="008E0834" w:rsidP="00020ABF">
            <w:pPr>
              <w:cnfStyle w:val="000000100000" w:firstRow="0" w:lastRow="0" w:firstColumn="0" w:lastColumn="0" w:oddVBand="0" w:evenVBand="0" w:oddHBand="1" w:evenHBand="0" w:firstRowFirstColumn="0" w:firstRowLastColumn="0" w:lastRowFirstColumn="0" w:lastRowLastColumn="0"/>
              <w:rPr>
                <w:sz w:val="24"/>
                <w:szCs w:val="24"/>
              </w:rPr>
            </w:pPr>
            <w:r w:rsidRPr="008E0834">
              <w:rPr>
                <w:sz w:val="24"/>
                <w:szCs w:val="24"/>
              </w:rPr>
              <w:t>Follows G</w:t>
            </w:r>
            <w:r w:rsidR="00555046" w:rsidRPr="008E0834">
              <w:rPr>
                <w:sz w:val="24"/>
                <w:szCs w:val="24"/>
              </w:rPr>
              <w:t>uidance</w:t>
            </w:r>
            <w:r w:rsidRPr="008E0834">
              <w:rPr>
                <w:sz w:val="24"/>
                <w:szCs w:val="24"/>
              </w:rPr>
              <w:t>.</w:t>
            </w:r>
          </w:p>
        </w:tc>
        <w:tc>
          <w:tcPr>
            <w:tcW w:w="2070" w:type="dxa"/>
          </w:tcPr>
          <w:p w14:paraId="121B8C41" w14:textId="605119A0" w:rsidR="00020ABF" w:rsidRPr="008E0834" w:rsidRDefault="008E0834" w:rsidP="00020ABF">
            <w:pPr>
              <w:cnfStyle w:val="000000100000" w:firstRow="0" w:lastRow="0" w:firstColumn="0" w:lastColumn="0" w:oddVBand="0" w:evenVBand="0" w:oddHBand="1" w:evenHBand="0" w:firstRowFirstColumn="0" w:firstRowLastColumn="0" w:lastRowFirstColumn="0" w:lastRowLastColumn="0"/>
              <w:rPr>
                <w:sz w:val="24"/>
                <w:szCs w:val="24"/>
              </w:rPr>
            </w:pPr>
            <w:r w:rsidRPr="008E0834">
              <w:rPr>
                <w:sz w:val="24"/>
                <w:szCs w:val="24"/>
              </w:rPr>
              <w:t>Follows G</w:t>
            </w:r>
            <w:r w:rsidR="00555046" w:rsidRPr="008E0834">
              <w:rPr>
                <w:sz w:val="24"/>
                <w:szCs w:val="24"/>
              </w:rPr>
              <w:t>uidance</w:t>
            </w:r>
            <w:r w:rsidRPr="008E0834">
              <w:rPr>
                <w:sz w:val="24"/>
                <w:szCs w:val="24"/>
              </w:rPr>
              <w:t>.</w:t>
            </w:r>
          </w:p>
        </w:tc>
      </w:tr>
      <w:tr w:rsidR="00C5185F" w:rsidRPr="0076168A" w14:paraId="121B8C48" w14:textId="77777777" w:rsidTr="00555046">
        <w:tc>
          <w:tcPr>
            <w:cnfStyle w:val="001000000000" w:firstRow="0" w:lastRow="0" w:firstColumn="1" w:lastColumn="0" w:oddVBand="0" w:evenVBand="0" w:oddHBand="0" w:evenHBand="0" w:firstRowFirstColumn="0" w:firstRowLastColumn="0" w:lastRowFirstColumn="0" w:lastRowLastColumn="0"/>
            <w:tcW w:w="5755" w:type="dxa"/>
            <w:shd w:val="clear" w:color="auto" w:fill="auto"/>
          </w:tcPr>
          <w:p w14:paraId="75A835DF" w14:textId="660F5BDF" w:rsidR="001C7960" w:rsidRPr="001C7960" w:rsidRDefault="001C7960" w:rsidP="001C7960">
            <w:pPr>
              <w:rPr>
                <w:rFonts w:asciiTheme="minorHAnsi" w:hAnsiTheme="minorHAnsi" w:cs="Times New Roman"/>
                <w:sz w:val="24"/>
                <w:szCs w:val="24"/>
              </w:rPr>
            </w:pPr>
            <w:r w:rsidRPr="0076168A">
              <w:rPr>
                <w:rFonts w:asciiTheme="minorHAnsi" w:hAnsiTheme="minorHAnsi" w:cs="Times New Roman"/>
                <w:sz w:val="24"/>
                <w:szCs w:val="24"/>
              </w:rPr>
              <w:t xml:space="preserve">Industry Practice:  </w:t>
            </w:r>
            <w:r>
              <w:rPr>
                <w:rFonts w:asciiTheme="minorHAnsi" w:hAnsiTheme="minorHAnsi" w:cs="Times New Roman"/>
                <w:sz w:val="24"/>
                <w:szCs w:val="24"/>
              </w:rPr>
              <w:t xml:space="preserve">Not-for-Profit. </w:t>
            </w:r>
            <w:r>
              <w:rPr>
                <w:rFonts w:asciiTheme="minorHAnsi" w:hAnsiTheme="minorHAnsi" w:cs="Times New Roman"/>
                <w:b w:val="0"/>
                <w:sz w:val="24"/>
                <w:szCs w:val="24"/>
              </w:rPr>
              <w:t>A collection such as a historical artifact, books, and paintings do not need to be recorded if it will be used for viewing, exhibition, education or research. Items that will not serve this purpose are to be recorded as an asset on the books.</w:t>
            </w:r>
          </w:p>
          <w:p w14:paraId="121B8C43" w14:textId="51279C41" w:rsidR="00C5185F" w:rsidRPr="0076168A" w:rsidRDefault="001C7960" w:rsidP="001C7960">
            <w:pPr>
              <w:rPr>
                <w:rFonts w:asciiTheme="minorHAnsi" w:hAnsiTheme="minorHAnsi" w:cs="Times New Roman"/>
                <w:sz w:val="24"/>
                <w:szCs w:val="24"/>
              </w:rPr>
            </w:pPr>
            <w:r>
              <w:rPr>
                <w:rFonts w:asciiTheme="minorHAnsi" w:hAnsiTheme="minorHAnsi" w:cs="Times New Roman"/>
                <w:b w:val="0"/>
                <w:sz w:val="24"/>
                <w:szCs w:val="24"/>
              </w:rPr>
              <w:t>If a donated item passes from the organization to another person, and the value of the donated item is not substantial, the asset does not need to be recorded. If the donation is substantial, it must be recorded on the accounting books. If the asset passes from the organization to another person and is of substantial impact to the financial statements, the donation will be recorded by debiting “expense” and crediting “unrestricted contributions”. If the asset is not passed as such, then the asset is recorded by debiting “Asset” and crediting “Contributions”. Once the donated asset is sold, if sold above fair market value, the difference is booked to “Revenue”.</w:t>
            </w:r>
          </w:p>
        </w:tc>
        <w:tc>
          <w:tcPr>
            <w:tcW w:w="3060" w:type="dxa"/>
            <w:shd w:val="clear" w:color="auto" w:fill="auto"/>
          </w:tcPr>
          <w:p w14:paraId="121B8C44" w14:textId="75C19955" w:rsidR="00C5185F" w:rsidRPr="008E0834" w:rsidRDefault="00BF4950" w:rsidP="00C5185F">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4"/>
                <w:szCs w:val="24"/>
              </w:rPr>
            </w:pPr>
            <w:r w:rsidRPr="008E0834">
              <w:rPr>
                <w:rFonts w:asciiTheme="minorHAnsi" w:hAnsiTheme="minorHAnsi" w:cs="Times New Roman"/>
                <w:sz w:val="24"/>
                <w:szCs w:val="24"/>
              </w:rPr>
              <w:t>Follows Guidance.</w:t>
            </w:r>
          </w:p>
        </w:tc>
        <w:tc>
          <w:tcPr>
            <w:tcW w:w="2155" w:type="dxa"/>
            <w:shd w:val="clear" w:color="auto" w:fill="auto"/>
          </w:tcPr>
          <w:p w14:paraId="121B8C45" w14:textId="5C3CD423" w:rsidR="00C5185F" w:rsidRPr="008E0834" w:rsidRDefault="00555046" w:rsidP="00C5185F">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4"/>
                <w:szCs w:val="24"/>
              </w:rPr>
            </w:pPr>
            <w:r w:rsidRPr="008E0834">
              <w:rPr>
                <w:sz w:val="24"/>
                <w:szCs w:val="24"/>
              </w:rPr>
              <w:t>Unclear</w:t>
            </w:r>
            <w:r w:rsidR="00F87777" w:rsidRPr="008E0834">
              <w:rPr>
                <w:sz w:val="24"/>
                <w:szCs w:val="24"/>
              </w:rPr>
              <w:t>.</w:t>
            </w:r>
          </w:p>
        </w:tc>
        <w:tc>
          <w:tcPr>
            <w:tcW w:w="2165" w:type="dxa"/>
            <w:shd w:val="clear" w:color="auto" w:fill="auto"/>
          </w:tcPr>
          <w:p w14:paraId="121B8C46" w14:textId="677FC2F1" w:rsidR="00C5185F" w:rsidRPr="008E0834" w:rsidRDefault="008E0834" w:rsidP="00C5185F">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4"/>
                <w:szCs w:val="24"/>
              </w:rPr>
            </w:pPr>
            <w:r>
              <w:rPr>
                <w:sz w:val="24"/>
                <w:szCs w:val="24"/>
              </w:rPr>
              <w:t>Follows G</w:t>
            </w:r>
            <w:r w:rsidR="00555046" w:rsidRPr="008E0834">
              <w:rPr>
                <w:sz w:val="24"/>
                <w:szCs w:val="24"/>
              </w:rPr>
              <w:t>uidance</w:t>
            </w:r>
            <w:r>
              <w:rPr>
                <w:sz w:val="24"/>
                <w:szCs w:val="24"/>
              </w:rPr>
              <w:t>.</w:t>
            </w:r>
          </w:p>
        </w:tc>
        <w:tc>
          <w:tcPr>
            <w:tcW w:w="2070" w:type="dxa"/>
            <w:shd w:val="clear" w:color="auto" w:fill="auto"/>
          </w:tcPr>
          <w:p w14:paraId="121B8C47" w14:textId="04EE6B49" w:rsidR="00C5185F" w:rsidRPr="008E0834" w:rsidRDefault="008E0834" w:rsidP="00C5185F">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4"/>
                <w:szCs w:val="24"/>
              </w:rPr>
            </w:pPr>
            <w:r>
              <w:rPr>
                <w:sz w:val="24"/>
                <w:szCs w:val="24"/>
              </w:rPr>
              <w:t>Follows G</w:t>
            </w:r>
            <w:r w:rsidR="00555046" w:rsidRPr="008E0834">
              <w:rPr>
                <w:sz w:val="24"/>
                <w:szCs w:val="24"/>
              </w:rPr>
              <w:t>uidance</w:t>
            </w:r>
            <w:r>
              <w:rPr>
                <w:sz w:val="24"/>
                <w:szCs w:val="24"/>
              </w:rPr>
              <w:t>.</w:t>
            </w:r>
          </w:p>
        </w:tc>
      </w:tr>
    </w:tbl>
    <w:p w14:paraId="06D482BF" w14:textId="77777777" w:rsidR="002D71C8" w:rsidRDefault="002D71C8" w:rsidP="00E369DE">
      <w:pPr>
        <w:pStyle w:val="Heading1"/>
        <w:tabs>
          <w:tab w:val="left" w:pos="6675"/>
        </w:tabs>
        <w:ind w:left="-2160" w:firstLine="180"/>
        <w:rPr>
          <w:sz w:val="24"/>
        </w:rPr>
      </w:pPr>
    </w:p>
    <w:p w14:paraId="03FB4D67" w14:textId="61C9692B" w:rsidR="00671B99" w:rsidRPr="00E369DE" w:rsidRDefault="00926B80" w:rsidP="00E369DE">
      <w:pPr>
        <w:pStyle w:val="Heading1"/>
        <w:tabs>
          <w:tab w:val="left" w:pos="6675"/>
        </w:tabs>
        <w:ind w:left="-2160" w:firstLine="180"/>
        <w:rPr>
          <w:rFonts w:ascii="Garamond" w:hAnsi="Garamond"/>
          <w:bCs w:val="0"/>
          <w:color w:val="auto"/>
          <w:kern w:val="0"/>
          <w:sz w:val="24"/>
          <w:szCs w:val="20"/>
        </w:rPr>
      </w:pPr>
      <w:r>
        <w:rPr>
          <w:sz w:val="24"/>
        </w:rPr>
        <w:t>Discussion</w:t>
      </w:r>
      <w:r w:rsidRPr="007B3038">
        <w:rPr>
          <w:rFonts w:ascii="Garamond" w:hAnsi="Garamond"/>
          <w:bCs w:val="0"/>
          <w:color w:val="auto"/>
          <w:kern w:val="0"/>
          <w:sz w:val="24"/>
          <w:szCs w:val="20"/>
        </w:rPr>
        <w:t xml:space="preserve"> </w:t>
      </w:r>
    </w:p>
    <w:p w14:paraId="115DD345" w14:textId="4ED97FB2" w:rsidR="009D61B1" w:rsidRDefault="00306844" w:rsidP="00926B80">
      <w:pPr>
        <w:ind w:left="-1440"/>
        <w:rPr>
          <w:sz w:val="24"/>
        </w:rPr>
      </w:pPr>
      <w:r>
        <w:rPr>
          <w:sz w:val="24"/>
        </w:rPr>
        <w:t>DoD</w:t>
      </w:r>
      <w:r w:rsidR="008E0834">
        <w:rPr>
          <w:sz w:val="24"/>
        </w:rPr>
        <w:t>I</w:t>
      </w:r>
      <w:r>
        <w:rPr>
          <w:sz w:val="24"/>
        </w:rPr>
        <w:t xml:space="preserve"> 1015.15 references the FMR in its guidance for donations in-kind. The FMR states that donations of Heritage Assets or Stewardship Land do not need to be recorded as PP&amp;E because such assets would hav</w:t>
      </w:r>
      <w:r w:rsidR="009D61B1">
        <w:rPr>
          <w:sz w:val="24"/>
        </w:rPr>
        <w:t>e been expensed when purchased. The FMR also states that donations of assets or services must be reported quarterly to DFAS.</w:t>
      </w:r>
      <w:r>
        <w:rPr>
          <w:sz w:val="24"/>
        </w:rPr>
        <w:t xml:space="preserve"> </w:t>
      </w:r>
      <w:r w:rsidR="009D61B1">
        <w:rPr>
          <w:sz w:val="24"/>
        </w:rPr>
        <w:t xml:space="preserve">Based on FMR guidance, the organization receiving the donated </w:t>
      </w:r>
      <w:r w:rsidR="00653EA4">
        <w:rPr>
          <w:sz w:val="24"/>
        </w:rPr>
        <w:t>asset</w:t>
      </w:r>
      <w:r w:rsidR="009D61B1">
        <w:rPr>
          <w:sz w:val="24"/>
        </w:rPr>
        <w:t xml:space="preserve"> determines the fair value of the asset at the time it is acquired by the government.</w:t>
      </w:r>
      <w:r w:rsidR="00555046">
        <w:rPr>
          <w:sz w:val="24"/>
        </w:rPr>
        <w:t xml:space="preserve"> </w:t>
      </w:r>
      <w:r w:rsidR="00C914BC">
        <w:rPr>
          <w:sz w:val="24"/>
        </w:rPr>
        <w:t xml:space="preserve">The Air Force, Navy, and Marine Corps have policy guidance requiring fair market evaluations of donated assets. It is unclear if the Army has standing policy or not. </w:t>
      </w:r>
      <w:r w:rsidR="00191D48">
        <w:rPr>
          <w:sz w:val="24"/>
        </w:rPr>
        <w:t xml:space="preserve">All Services agreed in the September 20, 2018 Working Group meeting that 1% of NAFI assets is considered material. </w:t>
      </w:r>
    </w:p>
    <w:p w14:paraId="77AD6EDE" w14:textId="77777777" w:rsidR="00C914BC" w:rsidRDefault="00C914BC" w:rsidP="00926B80">
      <w:pPr>
        <w:ind w:left="-1440"/>
        <w:rPr>
          <w:sz w:val="24"/>
        </w:rPr>
      </w:pPr>
    </w:p>
    <w:p w14:paraId="30BAD8B9" w14:textId="7922029A" w:rsidR="00191D48" w:rsidRPr="00191D48" w:rsidRDefault="00C914BC" w:rsidP="00191D48">
      <w:pPr>
        <w:ind w:left="-1440"/>
        <w:rPr>
          <w:sz w:val="24"/>
          <w:lang w:val="en"/>
        </w:rPr>
      </w:pPr>
      <w:r>
        <w:rPr>
          <w:sz w:val="24"/>
        </w:rPr>
        <w:t>Per additional discussions with the Air Force, the donations of in-kind assets are recorded as non-operating revenue. The Navy Department Instruction is a high level policy document, and does not specify or address the journal entry of placing an asset on the books. In discussions of this topic, the recording of the asset was the point of contention, not the recording of revenue.</w:t>
      </w:r>
      <w:r w:rsidR="00191D48" w:rsidRPr="00191D48">
        <w:rPr>
          <w:sz w:val="24"/>
          <w:lang w:val="en"/>
        </w:rPr>
        <w:t xml:space="preserve"> </w:t>
      </w:r>
      <w:r w:rsidR="00191D48">
        <w:rPr>
          <w:sz w:val="24"/>
        </w:rPr>
        <w:t>Given that the date of the Navy Instruction is May 7 2018, not all of the working group members were aware of the Navy requirement to assign a value to the donated assets, as these members had raised concerns of lack of appraisal expertise and a desire to avoid in any tax disputes involving a donor claiming a high charitable contribution based on assets provided to a Service. The concerns should be resolved by the IRS requirement of the donor to provide appraisal (US Code 170.f.11)</w:t>
      </w:r>
      <w:r w:rsidR="008E0834">
        <w:rPr>
          <w:sz w:val="24"/>
        </w:rPr>
        <w:t>, and</w:t>
      </w:r>
      <w:r w:rsidR="00191D48">
        <w:rPr>
          <w:sz w:val="24"/>
        </w:rPr>
        <w:t xml:space="preserve"> Section 5 of this same Navy instruction, which specifically notes that the Navy will not render any opinions of value on donated assets for tax purposes, and “activities are directed to advise donors that it is their responsibility to consult private tax experts for specific advice concerning tax implications of gift giving.</w:t>
      </w:r>
      <w:r w:rsidR="008E0834">
        <w:rPr>
          <w:sz w:val="24"/>
        </w:rPr>
        <w:t>”</w:t>
      </w:r>
      <w:r w:rsidR="00191D48">
        <w:rPr>
          <w:sz w:val="24"/>
        </w:rPr>
        <w:t xml:space="preserve">  </w:t>
      </w:r>
    </w:p>
    <w:p w14:paraId="5B2878C3" w14:textId="77777777" w:rsidR="00191D48" w:rsidRDefault="00191D48" w:rsidP="00926B80">
      <w:pPr>
        <w:ind w:left="-1440"/>
        <w:rPr>
          <w:sz w:val="24"/>
        </w:rPr>
      </w:pPr>
    </w:p>
    <w:p w14:paraId="2924D2C1" w14:textId="41D73F01" w:rsidR="009D61B1" w:rsidRDefault="00191D48" w:rsidP="009D61B1">
      <w:pPr>
        <w:ind w:left="-1440"/>
        <w:rPr>
          <w:sz w:val="24"/>
          <w:lang w:val="en"/>
        </w:rPr>
      </w:pPr>
      <w:r>
        <w:rPr>
          <w:sz w:val="24"/>
          <w:lang w:val="en"/>
        </w:rPr>
        <w:t xml:space="preserve">GAAP states that </w:t>
      </w:r>
      <w:r w:rsidRPr="009D61B1">
        <w:rPr>
          <w:sz w:val="24"/>
          <w:lang w:val="en"/>
        </w:rPr>
        <w:t>contributions received shall be recognized as revenues or gains in the period received and as assets, decreases of liabilities, or expenses depending on the form of the benefits received. The classification of contributions received as revenues or gains depends on whether the transactions are part of the N</w:t>
      </w:r>
      <w:r>
        <w:rPr>
          <w:sz w:val="24"/>
          <w:lang w:val="en"/>
        </w:rPr>
        <w:t>ot-for-Profit</w:t>
      </w:r>
      <w:r w:rsidRPr="009D61B1">
        <w:rPr>
          <w:sz w:val="24"/>
          <w:lang w:val="en"/>
        </w:rPr>
        <w:t>'s</w:t>
      </w:r>
      <w:r>
        <w:rPr>
          <w:sz w:val="24"/>
          <w:lang w:val="en"/>
        </w:rPr>
        <w:t xml:space="preserve"> (NFP)</w:t>
      </w:r>
      <w:r w:rsidRPr="009D61B1">
        <w:rPr>
          <w:sz w:val="24"/>
          <w:lang w:val="en"/>
        </w:rPr>
        <w:t xml:space="preserve"> ongoing major or central activities (revenues), or are peripheral or incidental to the NFP (gains).</w:t>
      </w:r>
    </w:p>
    <w:p w14:paraId="683B9C89" w14:textId="49831A76" w:rsidR="009D61B1" w:rsidRDefault="009D61B1" w:rsidP="009D61B1">
      <w:pPr>
        <w:ind w:left="-1440"/>
        <w:rPr>
          <w:sz w:val="24"/>
          <w:lang w:val="en"/>
        </w:rPr>
      </w:pPr>
    </w:p>
    <w:p w14:paraId="121B8C51" w14:textId="1A21DC3F" w:rsidR="00926B80" w:rsidRDefault="009D61B1" w:rsidP="000626F8">
      <w:pPr>
        <w:ind w:left="-1440"/>
        <w:rPr>
          <w:sz w:val="24"/>
        </w:rPr>
      </w:pPr>
      <w:r>
        <w:rPr>
          <w:sz w:val="24"/>
          <w:lang w:val="en"/>
        </w:rPr>
        <w:t>All guidance found notes that Donations In-Kind should be recorded on the financial statements with the exception of Heritage Assets and S</w:t>
      </w:r>
      <w:r w:rsidR="00692044">
        <w:rPr>
          <w:sz w:val="24"/>
          <w:lang w:val="en"/>
        </w:rPr>
        <w:t>tewardship Land. However, I</w:t>
      </w:r>
      <w:r>
        <w:rPr>
          <w:sz w:val="24"/>
          <w:lang w:val="en"/>
        </w:rPr>
        <w:t xml:space="preserve">ndustry practice is to record Donations In-Kind when the value of the donation is substantial (material) to the financial statements.  </w:t>
      </w:r>
    </w:p>
    <w:p w14:paraId="121B8C52" w14:textId="0C3B8EBA" w:rsidR="00926B80" w:rsidRDefault="00926B80" w:rsidP="00E369DE">
      <w:pPr>
        <w:ind w:left="-1440"/>
        <w:rPr>
          <w:sz w:val="24"/>
        </w:rPr>
      </w:pPr>
    </w:p>
    <w:p w14:paraId="7523FD68" w14:textId="77777777" w:rsidR="004230CA" w:rsidRDefault="004230CA" w:rsidP="00E369DE">
      <w:pPr>
        <w:ind w:left="-1440"/>
        <w:rPr>
          <w:sz w:val="24"/>
        </w:rPr>
      </w:pPr>
    </w:p>
    <w:p w14:paraId="121B8C54" w14:textId="561CDB6F" w:rsidR="00926B80" w:rsidRDefault="00983C17" w:rsidP="00E369DE">
      <w:pPr>
        <w:pStyle w:val="Heading1"/>
        <w:tabs>
          <w:tab w:val="left" w:pos="6675"/>
        </w:tabs>
        <w:ind w:left="-2160" w:firstLine="180"/>
        <w:rPr>
          <w:sz w:val="24"/>
        </w:rPr>
      </w:pPr>
      <w:r>
        <w:rPr>
          <w:sz w:val="24"/>
        </w:rPr>
        <w:t>Recommendation</w:t>
      </w:r>
      <w:r w:rsidR="00926B80">
        <w:rPr>
          <w:sz w:val="24"/>
        </w:rPr>
        <w:t xml:space="preserve">  </w:t>
      </w:r>
    </w:p>
    <w:p w14:paraId="52BBEBC0" w14:textId="77777777" w:rsidR="00464DAE" w:rsidRDefault="00464DAE" w:rsidP="00926B80">
      <w:pPr>
        <w:ind w:left="-1440"/>
        <w:rPr>
          <w:sz w:val="24"/>
        </w:rPr>
      </w:pPr>
    </w:p>
    <w:p w14:paraId="6DD8C312" w14:textId="7C3D9F26" w:rsidR="002C4487" w:rsidRDefault="006A33C6" w:rsidP="00692044">
      <w:pPr>
        <w:ind w:left="-1440"/>
        <w:rPr>
          <w:sz w:val="24"/>
        </w:rPr>
      </w:pPr>
      <w:r>
        <w:rPr>
          <w:sz w:val="24"/>
        </w:rPr>
        <w:t>We r</w:t>
      </w:r>
      <w:r w:rsidR="00692044">
        <w:rPr>
          <w:sz w:val="24"/>
        </w:rPr>
        <w:t xml:space="preserve">ecommend the FMR </w:t>
      </w:r>
      <w:r w:rsidR="002D353F">
        <w:rPr>
          <w:sz w:val="24"/>
        </w:rPr>
        <w:t>be</w:t>
      </w:r>
      <w:r w:rsidR="00692044">
        <w:rPr>
          <w:sz w:val="24"/>
        </w:rPr>
        <w:t xml:space="preserve"> updated to state that donations of assets and services material to the financial statements are reported </w:t>
      </w:r>
      <w:r w:rsidR="00585D05">
        <w:rPr>
          <w:sz w:val="24"/>
        </w:rPr>
        <w:t>on the financial statements.</w:t>
      </w:r>
      <w:r w:rsidR="00692044">
        <w:rPr>
          <w:sz w:val="24"/>
        </w:rPr>
        <w:t xml:space="preserve"> The materiality threshold should be defined as one percent (1%) of the assets in the consolidated balance sheet at the Service level. </w:t>
      </w:r>
      <w:r w:rsidR="006A6235">
        <w:rPr>
          <w:sz w:val="24"/>
        </w:rPr>
        <w:t xml:space="preserve">This guidance is in line with recommendations made for Prior Period Adjustments and FMR identification of materiality. The organization receiving the donation should determine the fair market value of the asset at the time the donation is acquired. </w:t>
      </w:r>
      <w:r w:rsidR="002C4487">
        <w:rPr>
          <w:sz w:val="24"/>
        </w:rPr>
        <w:t xml:space="preserve">Acceptance of the donation should be recorded as a debit to record the asset, and a credit to Contribution Revenue per GAAP guidance. The Air Force and Navy Department policies contain significant layers of guidance on who can accept gifts as well as the logistics of handling gifts. We do not believe these processes governing gift acceptance need to be standardized across Services, provided </w:t>
      </w:r>
      <w:r>
        <w:rPr>
          <w:sz w:val="24"/>
        </w:rPr>
        <w:t xml:space="preserve">that </w:t>
      </w:r>
      <w:r w:rsidR="002C4487">
        <w:rPr>
          <w:sz w:val="24"/>
        </w:rPr>
        <w:t xml:space="preserve">assets material to the financial statements are recorded at FMV with a corresponding credit to Contribution revenue. Services may have stricter guidance if desired. </w:t>
      </w:r>
    </w:p>
    <w:p w14:paraId="04D93929" w14:textId="77777777" w:rsidR="002C4487" w:rsidRDefault="002C4487" w:rsidP="00692044">
      <w:pPr>
        <w:ind w:left="-1440"/>
        <w:rPr>
          <w:sz w:val="24"/>
        </w:rPr>
      </w:pPr>
    </w:p>
    <w:p w14:paraId="0A7ADBF2" w14:textId="2FC071C4" w:rsidR="00671B99" w:rsidRDefault="006A6235" w:rsidP="00692044">
      <w:pPr>
        <w:ind w:left="-1440"/>
        <w:rPr>
          <w:sz w:val="24"/>
        </w:rPr>
      </w:pPr>
      <w:r>
        <w:rPr>
          <w:sz w:val="24"/>
        </w:rPr>
        <w:t xml:space="preserve">Additionally, this guidance should still exclude Heritage Assets and Stewardship Land from being recorded as PP&amp;E on the financial statements unless the NAFI 1) uses or intends to use the artifact in its primary operations outside of its educational function, 2) the NAFI sells or intends to sell the artifact </w:t>
      </w:r>
      <w:r w:rsidRPr="006A6235">
        <w:rPr>
          <w:sz w:val="24"/>
          <w:u w:val="single"/>
        </w:rPr>
        <w:t>and</w:t>
      </w:r>
      <w:r>
        <w:rPr>
          <w:sz w:val="24"/>
        </w:rPr>
        <w:t xml:space="preserve"> use the proceeds for something other than purchasing another artifact for educational purposes. This guidance is in line with the recommendation on the Artifacts Position Paper.</w:t>
      </w:r>
      <w:r w:rsidR="00692044">
        <w:rPr>
          <w:sz w:val="24"/>
        </w:rPr>
        <w:t xml:space="preserve"> </w:t>
      </w:r>
    </w:p>
    <w:p w14:paraId="65671307" w14:textId="77777777" w:rsidR="000626F8" w:rsidRDefault="000626F8" w:rsidP="00692044">
      <w:pPr>
        <w:ind w:left="-1440"/>
        <w:rPr>
          <w:sz w:val="24"/>
        </w:rPr>
      </w:pPr>
    </w:p>
    <w:p w14:paraId="664077BE" w14:textId="54C5E1D6" w:rsidR="000626F8" w:rsidRDefault="000626F8" w:rsidP="00692044">
      <w:pPr>
        <w:ind w:left="-1440"/>
        <w:rPr>
          <w:sz w:val="24"/>
        </w:rPr>
      </w:pPr>
      <w:r>
        <w:rPr>
          <w:sz w:val="24"/>
        </w:rPr>
        <w:t xml:space="preserve">Furthermore, we recommend the Services review their existing policy and procedures for documenting donated assets or donated Services to ensure that they are consistent with the record-keeping </w:t>
      </w:r>
      <w:r w:rsidR="00585D05">
        <w:rPr>
          <w:sz w:val="24"/>
        </w:rPr>
        <w:t xml:space="preserve">and DFAS </w:t>
      </w:r>
      <w:r w:rsidR="002C4487">
        <w:rPr>
          <w:sz w:val="24"/>
        </w:rPr>
        <w:t xml:space="preserve">quarterly </w:t>
      </w:r>
      <w:r w:rsidR="00585D05">
        <w:rPr>
          <w:sz w:val="24"/>
        </w:rPr>
        <w:t xml:space="preserve">reporting </w:t>
      </w:r>
      <w:r>
        <w:rPr>
          <w:sz w:val="24"/>
        </w:rPr>
        <w:t xml:space="preserve">requirements set forth by the guidance in Volume 12, Chapter 3 of the FMR.  </w:t>
      </w:r>
    </w:p>
    <w:p w14:paraId="6A2E820F" w14:textId="77777777" w:rsidR="004230CA" w:rsidRDefault="004230CA" w:rsidP="00926B80">
      <w:pPr>
        <w:ind w:left="-1440"/>
        <w:rPr>
          <w:sz w:val="24"/>
        </w:rPr>
      </w:pPr>
    </w:p>
    <w:p w14:paraId="121B8C57" w14:textId="77777777" w:rsidR="00926B80" w:rsidRDefault="00926B80" w:rsidP="00830126">
      <w:pPr>
        <w:pStyle w:val="Heading1"/>
        <w:tabs>
          <w:tab w:val="left" w:pos="6675"/>
        </w:tabs>
        <w:spacing w:after="240"/>
        <w:ind w:left="-2160" w:firstLine="180"/>
        <w:rPr>
          <w:sz w:val="24"/>
        </w:rPr>
      </w:pPr>
      <w:r>
        <w:rPr>
          <w:sz w:val="24"/>
        </w:rPr>
        <w:t>Service Concurrence</w:t>
      </w:r>
    </w:p>
    <w:tbl>
      <w:tblPr>
        <w:tblStyle w:val="TableGrid"/>
        <w:tblW w:w="0" w:type="auto"/>
        <w:tblInd w:w="-1173" w:type="dxa"/>
        <w:tblLook w:val="04A0" w:firstRow="1" w:lastRow="0" w:firstColumn="1" w:lastColumn="0" w:noHBand="0" w:noVBand="1"/>
      </w:tblPr>
      <w:tblGrid>
        <w:gridCol w:w="2065"/>
        <w:gridCol w:w="2613"/>
        <w:gridCol w:w="8730"/>
      </w:tblGrid>
      <w:tr w:rsidR="00926B80" w14:paraId="121B8C5B" w14:textId="77777777" w:rsidTr="00CB4BF4">
        <w:tc>
          <w:tcPr>
            <w:tcW w:w="206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121B8C58" w14:textId="77777777" w:rsidR="00926B80" w:rsidRDefault="00926B80" w:rsidP="00F923D1">
            <w:pPr>
              <w:pStyle w:val="Heading1"/>
              <w:tabs>
                <w:tab w:val="left" w:pos="6675"/>
              </w:tabs>
              <w:jc w:val="center"/>
              <w:rPr>
                <w:rFonts w:asciiTheme="minorHAnsi" w:hAnsiTheme="minorHAnsi" w:cstheme="majorHAnsi"/>
                <w:color w:val="auto"/>
                <w:sz w:val="24"/>
              </w:rPr>
            </w:pPr>
            <w:r>
              <w:rPr>
                <w:rFonts w:asciiTheme="minorHAnsi" w:hAnsiTheme="minorHAnsi" w:cstheme="majorHAnsi"/>
                <w:color w:val="auto"/>
                <w:sz w:val="24"/>
              </w:rPr>
              <w:t>Service</w:t>
            </w:r>
          </w:p>
        </w:tc>
        <w:tc>
          <w:tcPr>
            <w:tcW w:w="2613"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121B8C59" w14:textId="77777777" w:rsidR="00926B80" w:rsidRDefault="00926B80" w:rsidP="00F923D1">
            <w:pPr>
              <w:pStyle w:val="Heading1"/>
              <w:tabs>
                <w:tab w:val="left" w:pos="6675"/>
              </w:tabs>
              <w:jc w:val="center"/>
              <w:rPr>
                <w:rFonts w:asciiTheme="minorHAnsi" w:hAnsiTheme="minorHAnsi" w:cstheme="majorHAnsi"/>
                <w:color w:val="auto"/>
                <w:sz w:val="24"/>
              </w:rPr>
            </w:pPr>
            <w:r>
              <w:rPr>
                <w:rFonts w:asciiTheme="minorHAnsi" w:hAnsiTheme="minorHAnsi" w:cstheme="majorHAnsi"/>
                <w:color w:val="auto"/>
                <w:sz w:val="24"/>
              </w:rPr>
              <w:t>Concurrence</w:t>
            </w:r>
          </w:p>
        </w:tc>
        <w:tc>
          <w:tcPr>
            <w:tcW w:w="873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121B8C5A" w14:textId="673831B7" w:rsidR="00926B80" w:rsidRDefault="00983C17" w:rsidP="00983C17">
            <w:pPr>
              <w:pStyle w:val="Heading1"/>
              <w:tabs>
                <w:tab w:val="left" w:pos="6675"/>
              </w:tabs>
              <w:jc w:val="center"/>
              <w:rPr>
                <w:rFonts w:asciiTheme="minorHAnsi" w:hAnsiTheme="minorHAnsi" w:cstheme="majorHAnsi"/>
                <w:color w:val="auto"/>
                <w:sz w:val="24"/>
              </w:rPr>
            </w:pPr>
            <w:r>
              <w:rPr>
                <w:rFonts w:asciiTheme="minorHAnsi" w:hAnsiTheme="minorHAnsi" w:cstheme="majorHAnsi"/>
                <w:color w:val="auto"/>
                <w:sz w:val="24"/>
              </w:rPr>
              <w:t>Reason</w:t>
            </w:r>
            <w:r w:rsidR="00CB4BF4">
              <w:rPr>
                <w:rFonts w:asciiTheme="minorHAnsi" w:hAnsiTheme="minorHAnsi" w:cstheme="majorHAnsi"/>
                <w:color w:val="auto"/>
                <w:sz w:val="24"/>
              </w:rPr>
              <w:t xml:space="preserve"> for Non-concurrence</w:t>
            </w:r>
          </w:p>
        </w:tc>
      </w:tr>
      <w:tr w:rsidR="00926B80" w14:paraId="121B8C5F" w14:textId="77777777" w:rsidTr="00CB4BF4">
        <w:trPr>
          <w:trHeight w:val="408"/>
        </w:trPr>
        <w:tc>
          <w:tcPr>
            <w:tcW w:w="2065" w:type="dxa"/>
            <w:tcBorders>
              <w:top w:val="single" w:sz="4" w:space="0" w:color="auto"/>
              <w:left w:val="single" w:sz="4" w:space="0" w:color="auto"/>
              <w:bottom w:val="single" w:sz="4" w:space="0" w:color="auto"/>
              <w:right w:val="single" w:sz="4" w:space="0" w:color="auto"/>
            </w:tcBorders>
            <w:hideMark/>
          </w:tcPr>
          <w:p w14:paraId="121B8C5C" w14:textId="77777777" w:rsidR="00926B80" w:rsidRDefault="00926B80" w:rsidP="00F923D1">
            <w:pPr>
              <w:pStyle w:val="Heading1"/>
              <w:tabs>
                <w:tab w:val="left" w:pos="6675"/>
              </w:tabs>
              <w:rPr>
                <w:rFonts w:asciiTheme="minorHAnsi" w:hAnsiTheme="minorHAnsi" w:cstheme="majorHAnsi"/>
                <w:color w:val="auto"/>
                <w:sz w:val="24"/>
              </w:rPr>
            </w:pPr>
            <w:r>
              <w:rPr>
                <w:rFonts w:asciiTheme="minorHAnsi" w:hAnsiTheme="minorHAnsi" w:cstheme="majorHAnsi"/>
                <w:color w:val="auto"/>
                <w:sz w:val="24"/>
              </w:rPr>
              <w:t>Air Force</w:t>
            </w:r>
          </w:p>
        </w:tc>
        <w:tc>
          <w:tcPr>
            <w:tcW w:w="2613" w:type="dxa"/>
            <w:tcBorders>
              <w:top w:val="single" w:sz="4" w:space="0" w:color="auto"/>
              <w:left w:val="single" w:sz="4" w:space="0" w:color="auto"/>
              <w:bottom w:val="single" w:sz="4" w:space="0" w:color="auto"/>
              <w:right w:val="single" w:sz="4" w:space="0" w:color="auto"/>
            </w:tcBorders>
          </w:tcPr>
          <w:p w14:paraId="121B8C5D" w14:textId="0EB6D18C" w:rsidR="00926B80" w:rsidRPr="00CB4BF4" w:rsidRDefault="00CB4BF4" w:rsidP="00F923D1">
            <w:pPr>
              <w:pStyle w:val="Heading1"/>
              <w:tabs>
                <w:tab w:val="left" w:pos="6675"/>
              </w:tabs>
              <w:rPr>
                <w:rFonts w:asciiTheme="minorHAnsi" w:hAnsiTheme="minorHAnsi" w:cstheme="majorHAnsi"/>
                <w:b/>
                <w:color w:val="auto"/>
                <w:sz w:val="24"/>
              </w:rPr>
            </w:pPr>
            <w:r w:rsidRPr="00CB4BF4">
              <w:rPr>
                <w:rFonts w:asciiTheme="minorHAnsi" w:hAnsiTheme="minorHAnsi" w:cstheme="majorHAnsi"/>
                <w:b/>
                <w:color w:val="auto"/>
                <w:sz w:val="24"/>
              </w:rPr>
              <w:t>Concurred 11/15/2018.</w:t>
            </w:r>
          </w:p>
        </w:tc>
        <w:tc>
          <w:tcPr>
            <w:tcW w:w="8730" w:type="dxa"/>
            <w:tcBorders>
              <w:top w:val="single" w:sz="4" w:space="0" w:color="auto"/>
              <w:left w:val="single" w:sz="4" w:space="0" w:color="auto"/>
              <w:bottom w:val="single" w:sz="4" w:space="0" w:color="auto"/>
              <w:right w:val="single" w:sz="4" w:space="0" w:color="auto"/>
            </w:tcBorders>
          </w:tcPr>
          <w:p w14:paraId="121B8C5E" w14:textId="7AE72098" w:rsidR="00926B80" w:rsidRDefault="00926B80" w:rsidP="00F923D1">
            <w:pPr>
              <w:pStyle w:val="Heading1"/>
              <w:tabs>
                <w:tab w:val="left" w:pos="6675"/>
              </w:tabs>
              <w:rPr>
                <w:rFonts w:asciiTheme="minorHAnsi" w:hAnsiTheme="minorHAnsi" w:cstheme="majorHAnsi"/>
                <w:color w:val="auto"/>
                <w:sz w:val="24"/>
              </w:rPr>
            </w:pPr>
          </w:p>
        </w:tc>
      </w:tr>
      <w:tr w:rsidR="00926B80" w14:paraId="121B8C63" w14:textId="77777777" w:rsidTr="00CB4BF4">
        <w:trPr>
          <w:trHeight w:val="435"/>
        </w:trPr>
        <w:tc>
          <w:tcPr>
            <w:tcW w:w="2065" w:type="dxa"/>
            <w:tcBorders>
              <w:top w:val="single" w:sz="4" w:space="0" w:color="auto"/>
              <w:left w:val="single" w:sz="4" w:space="0" w:color="auto"/>
              <w:bottom w:val="single" w:sz="4" w:space="0" w:color="auto"/>
              <w:right w:val="single" w:sz="4" w:space="0" w:color="auto"/>
            </w:tcBorders>
            <w:hideMark/>
          </w:tcPr>
          <w:p w14:paraId="121B8C60" w14:textId="77777777" w:rsidR="00926B80" w:rsidRDefault="00926B80" w:rsidP="00F923D1">
            <w:pPr>
              <w:pStyle w:val="Heading1"/>
              <w:tabs>
                <w:tab w:val="left" w:pos="6675"/>
              </w:tabs>
              <w:rPr>
                <w:rFonts w:asciiTheme="minorHAnsi" w:hAnsiTheme="minorHAnsi" w:cstheme="majorHAnsi"/>
                <w:color w:val="auto"/>
                <w:sz w:val="24"/>
              </w:rPr>
            </w:pPr>
            <w:r>
              <w:rPr>
                <w:rFonts w:asciiTheme="minorHAnsi" w:hAnsiTheme="minorHAnsi" w:cstheme="majorHAnsi"/>
                <w:color w:val="auto"/>
                <w:sz w:val="24"/>
              </w:rPr>
              <w:t>Army</w:t>
            </w:r>
          </w:p>
        </w:tc>
        <w:tc>
          <w:tcPr>
            <w:tcW w:w="2613" w:type="dxa"/>
            <w:tcBorders>
              <w:top w:val="single" w:sz="4" w:space="0" w:color="auto"/>
              <w:left w:val="single" w:sz="4" w:space="0" w:color="auto"/>
              <w:bottom w:val="single" w:sz="4" w:space="0" w:color="auto"/>
              <w:right w:val="single" w:sz="4" w:space="0" w:color="auto"/>
            </w:tcBorders>
          </w:tcPr>
          <w:p w14:paraId="121B8C61" w14:textId="5B75721E" w:rsidR="00926B80" w:rsidRPr="00CB4BF4" w:rsidRDefault="00CB4BF4" w:rsidP="00F923D1">
            <w:pPr>
              <w:pStyle w:val="Heading1"/>
              <w:tabs>
                <w:tab w:val="left" w:pos="6675"/>
              </w:tabs>
              <w:rPr>
                <w:rFonts w:asciiTheme="minorHAnsi" w:hAnsiTheme="minorHAnsi" w:cstheme="majorHAnsi"/>
                <w:b/>
                <w:color w:val="auto"/>
                <w:sz w:val="24"/>
              </w:rPr>
            </w:pPr>
            <w:r w:rsidRPr="00CB4BF4">
              <w:rPr>
                <w:rFonts w:asciiTheme="minorHAnsi" w:hAnsiTheme="minorHAnsi" w:cstheme="majorHAnsi"/>
                <w:b/>
                <w:color w:val="auto"/>
                <w:sz w:val="24"/>
              </w:rPr>
              <w:t>Concurred 1/7/2019.</w:t>
            </w:r>
          </w:p>
        </w:tc>
        <w:tc>
          <w:tcPr>
            <w:tcW w:w="8730" w:type="dxa"/>
            <w:tcBorders>
              <w:top w:val="single" w:sz="4" w:space="0" w:color="auto"/>
              <w:left w:val="single" w:sz="4" w:space="0" w:color="auto"/>
              <w:bottom w:val="single" w:sz="4" w:space="0" w:color="auto"/>
              <w:right w:val="single" w:sz="4" w:space="0" w:color="auto"/>
            </w:tcBorders>
          </w:tcPr>
          <w:p w14:paraId="121B8C62" w14:textId="0E73D22D" w:rsidR="00926B80" w:rsidRDefault="00926B80" w:rsidP="00F923D1">
            <w:pPr>
              <w:pStyle w:val="Heading1"/>
              <w:tabs>
                <w:tab w:val="left" w:pos="6675"/>
              </w:tabs>
              <w:rPr>
                <w:rFonts w:asciiTheme="minorHAnsi" w:hAnsiTheme="minorHAnsi" w:cstheme="majorHAnsi"/>
                <w:color w:val="auto"/>
                <w:sz w:val="24"/>
              </w:rPr>
            </w:pPr>
          </w:p>
        </w:tc>
      </w:tr>
      <w:tr w:rsidR="00926B80" w14:paraId="121B8C67" w14:textId="77777777" w:rsidTr="00CB4BF4">
        <w:trPr>
          <w:trHeight w:val="444"/>
        </w:trPr>
        <w:tc>
          <w:tcPr>
            <w:tcW w:w="2065" w:type="dxa"/>
            <w:tcBorders>
              <w:top w:val="single" w:sz="4" w:space="0" w:color="auto"/>
              <w:left w:val="single" w:sz="4" w:space="0" w:color="auto"/>
              <w:bottom w:val="single" w:sz="4" w:space="0" w:color="auto"/>
              <w:right w:val="single" w:sz="4" w:space="0" w:color="auto"/>
            </w:tcBorders>
            <w:hideMark/>
          </w:tcPr>
          <w:p w14:paraId="121B8C64" w14:textId="77777777" w:rsidR="00926B80" w:rsidRDefault="00926B80" w:rsidP="00F923D1">
            <w:pPr>
              <w:pStyle w:val="Heading1"/>
              <w:tabs>
                <w:tab w:val="left" w:pos="6675"/>
              </w:tabs>
              <w:rPr>
                <w:rFonts w:asciiTheme="minorHAnsi" w:hAnsiTheme="minorHAnsi" w:cstheme="majorHAnsi"/>
                <w:color w:val="auto"/>
                <w:sz w:val="24"/>
              </w:rPr>
            </w:pPr>
            <w:r>
              <w:rPr>
                <w:rFonts w:asciiTheme="minorHAnsi" w:hAnsiTheme="minorHAnsi" w:cstheme="majorHAnsi"/>
                <w:color w:val="auto"/>
                <w:sz w:val="24"/>
              </w:rPr>
              <w:t xml:space="preserve">Marines </w:t>
            </w:r>
          </w:p>
        </w:tc>
        <w:tc>
          <w:tcPr>
            <w:tcW w:w="2613" w:type="dxa"/>
            <w:tcBorders>
              <w:top w:val="single" w:sz="4" w:space="0" w:color="auto"/>
              <w:left w:val="single" w:sz="4" w:space="0" w:color="auto"/>
              <w:bottom w:val="single" w:sz="4" w:space="0" w:color="auto"/>
              <w:right w:val="single" w:sz="4" w:space="0" w:color="auto"/>
            </w:tcBorders>
          </w:tcPr>
          <w:p w14:paraId="121B8C65" w14:textId="25D720A2" w:rsidR="00926B80" w:rsidRDefault="00CB4BF4" w:rsidP="00F923D1">
            <w:pPr>
              <w:pStyle w:val="Heading1"/>
              <w:tabs>
                <w:tab w:val="left" w:pos="6675"/>
              </w:tabs>
              <w:rPr>
                <w:rFonts w:asciiTheme="minorHAnsi" w:hAnsiTheme="minorHAnsi" w:cstheme="majorHAnsi"/>
                <w:color w:val="auto"/>
                <w:sz w:val="24"/>
              </w:rPr>
            </w:pPr>
            <w:r w:rsidRPr="00CB4BF4">
              <w:rPr>
                <w:rFonts w:asciiTheme="minorHAnsi" w:hAnsiTheme="minorHAnsi" w:cstheme="majorHAnsi"/>
                <w:b/>
                <w:color w:val="auto"/>
                <w:sz w:val="24"/>
              </w:rPr>
              <w:t>Concurred 11/15/2018.</w:t>
            </w:r>
          </w:p>
        </w:tc>
        <w:tc>
          <w:tcPr>
            <w:tcW w:w="8730" w:type="dxa"/>
            <w:tcBorders>
              <w:top w:val="single" w:sz="4" w:space="0" w:color="auto"/>
              <w:left w:val="single" w:sz="4" w:space="0" w:color="auto"/>
              <w:bottom w:val="single" w:sz="4" w:space="0" w:color="auto"/>
              <w:right w:val="single" w:sz="4" w:space="0" w:color="auto"/>
            </w:tcBorders>
          </w:tcPr>
          <w:p w14:paraId="121B8C66" w14:textId="33689F27" w:rsidR="00926B80" w:rsidRDefault="00926B80" w:rsidP="00F923D1">
            <w:pPr>
              <w:pStyle w:val="Heading1"/>
              <w:tabs>
                <w:tab w:val="left" w:pos="6675"/>
              </w:tabs>
              <w:rPr>
                <w:rFonts w:asciiTheme="minorHAnsi" w:hAnsiTheme="minorHAnsi" w:cstheme="majorHAnsi"/>
                <w:color w:val="auto"/>
                <w:sz w:val="24"/>
              </w:rPr>
            </w:pPr>
          </w:p>
        </w:tc>
      </w:tr>
      <w:tr w:rsidR="00926B80" w14:paraId="121B8C6B" w14:textId="77777777" w:rsidTr="00CB4BF4">
        <w:trPr>
          <w:trHeight w:val="435"/>
        </w:trPr>
        <w:tc>
          <w:tcPr>
            <w:tcW w:w="2065" w:type="dxa"/>
            <w:tcBorders>
              <w:top w:val="single" w:sz="4" w:space="0" w:color="auto"/>
              <w:left w:val="single" w:sz="4" w:space="0" w:color="auto"/>
              <w:bottom w:val="single" w:sz="4" w:space="0" w:color="auto"/>
              <w:right w:val="single" w:sz="4" w:space="0" w:color="auto"/>
            </w:tcBorders>
            <w:hideMark/>
          </w:tcPr>
          <w:p w14:paraId="121B8C68" w14:textId="77777777" w:rsidR="00926B80" w:rsidRDefault="00926B80" w:rsidP="00F923D1">
            <w:pPr>
              <w:pStyle w:val="Heading1"/>
              <w:tabs>
                <w:tab w:val="left" w:pos="6675"/>
              </w:tabs>
              <w:rPr>
                <w:rFonts w:asciiTheme="minorHAnsi" w:hAnsiTheme="minorHAnsi" w:cstheme="majorHAnsi"/>
                <w:color w:val="auto"/>
                <w:sz w:val="24"/>
              </w:rPr>
            </w:pPr>
            <w:r>
              <w:rPr>
                <w:rFonts w:asciiTheme="minorHAnsi" w:hAnsiTheme="minorHAnsi" w:cstheme="majorHAnsi"/>
                <w:color w:val="auto"/>
                <w:sz w:val="24"/>
              </w:rPr>
              <w:t>Navy</w:t>
            </w:r>
          </w:p>
        </w:tc>
        <w:tc>
          <w:tcPr>
            <w:tcW w:w="2613" w:type="dxa"/>
            <w:tcBorders>
              <w:top w:val="single" w:sz="4" w:space="0" w:color="auto"/>
              <w:left w:val="single" w:sz="4" w:space="0" w:color="auto"/>
              <w:bottom w:val="single" w:sz="4" w:space="0" w:color="auto"/>
              <w:right w:val="single" w:sz="4" w:space="0" w:color="auto"/>
            </w:tcBorders>
          </w:tcPr>
          <w:p w14:paraId="121B8C69" w14:textId="517A4DC1" w:rsidR="00926B80" w:rsidRDefault="00CB4BF4" w:rsidP="00B062CE">
            <w:pPr>
              <w:pStyle w:val="Heading1"/>
              <w:tabs>
                <w:tab w:val="left" w:pos="6675"/>
              </w:tabs>
              <w:rPr>
                <w:rFonts w:asciiTheme="minorHAnsi" w:hAnsiTheme="minorHAnsi" w:cstheme="majorHAnsi"/>
                <w:color w:val="auto"/>
                <w:sz w:val="24"/>
              </w:rPr>
            </w:pPr>
            <w:r w:rsidRPr="00CB4BF4">
              <w:rPr>
                <w:rFonts w:asciiTheme="minorHAnsi" w:hAnsiTheme="minorHAnsi" w:cstheme="majorHAnsi"/>
                <w:b/>
                <w:color w:val="auto"/>
                <w:sz w:val="24"/>
              </w:rPr>
              <w:t>Concurred 1</w:t>
            </w:r>
            <w:r>
              <w:rPr>
                <w:rFonts w:asciiTheme="minorHAnsi" w:hAnsiTheme="minorHAnsi" w:cstheme="majorHAnsi"/>
                <w:b/>
                <w:color w:val="auto"/>
                <w:sz w:val="24"/>
              </w:rPr>
              <w:t>2</w:t>
            </w:r>
            <w:r w:rsidRPr="00CB4BF4">
              <w:rPr>
                <w:rFonts w:asciiTheme="minorHAnsi" w:hAnsiTheme="minorHAnsi" w:cstheme="majorHAnsi"/>
                <w:b/>
                <w:color w:val="auto"/>
                <w:sz w:val="24"/>
              </w:rPr>
              <w:t>/</w:t>
            </w:r>
            <w:r>
              <w:rPr>
                <w:rFonts w:asciiTheme="minorHAnsi" w:hAnsiTheme="minorHAnsi" w:cstheme="majorHAnsi"/>
                <w:b/>
                <w:color w:val="auto"/>
                <w:sz w:val="24"/>
              </w:rPr>
              <w:t>13</w:t>
            </w:r>
            <w:r w:rsidRPr="00CB4BF4">
              <w:rPr>
                <w:rFonts w:asciiTheme="minorHAnsi" w:hAnsiTheme="minorHAnsi" w:cstheme="majorHAnsi"/>
                <w:b/>
                <w:color w:val="auto"/>
                <w:sz w:val="24"/>
              </w:rPr>
              <w:t>/2018.</w:t>
            </w:r>
          </w:p>
        </w:tc>
        <w:tc>
          <w:tcPr>
            <w:tcW w:w="8730" w:type="dxa"/>
            <w:tcBorders>
              <w:top w:val="single" w:sz="4" w:space="0" w:color="auto"/>
              <w:left w:val="single" w:sz="4" w:space="0" w:color="auto"/>
              <w:bottom w:val="single" w:sz="4" w:space="0" w:color="auto"/>
              <w:right w:val="single" w:sz="4" w:space="0" w:color="auto"/>
            </w:tcBorders>
          </w:tcPr>
          <w:p w14:paraId="121B8C6A" w14:textId="08AEE573" w:rsidR="00926B80" w:rsidRDefault="00426453" w:rsidP="00F923D1">
            <w:pPr>
              <w:pStyle w:val="Heading1"/>
              <w:tabs>
                <w:tab w:val="left" w:pos="6675"/>
              </w:tabs>
              <w:rPr>
                <w:rFonts w:asciiTheme="minorHAnsi" w:hAnsiTheme="minorHAnsi" w:cstheme="majorHAnsi"/>
                <w:color w:val="auto"/>
                <w:sz w:val="24"/>
              </w:rPr>
            </w:pPr>
            <w:r>
              <w:rPr>
                <w:rFonts w:asciiTheme="minorHAnsi" w:hAnsiTheme="minorHAnsi" w:cstheme="majorHAnsi"/>
                <w:color w:val="auto"/>
                <w:sz w:val="24"/>
              </w:rPr>
              <w:t xml:space="preserve"> </w:t>
            </w:r>
          </w:p>
        </w:tc>
      </w:tr>
    </w:tbl>
    <w:p w14:paraId="7E81CBEA" w14:textId="4F8B20B9" w:rsidR="00671B99" w:rsidRPr="000D3C52" w:rsidRDefault="00671B99" w:rsidP="00E369DE">
      <w:pPr>
        <w:pStyle w:val="BodyText"/>
        <w:spacing w:after="0"/>
      </w:pPr>
    </w:p>
    <w:p w14:paraId="74CF5B1D" w14:textId="77777777" w:rsidR="00CB4BF4" w:rsidRDefault="00CB4BF4" w:rsidP="00CB4BF4">
      <w:pPr>
        <w:pStyle w:val="Heading1"/>
        <w:tabs>
          <w:tab w:val="left" w:pos="6675"/>
        </w:tabs>
        <w:ind w:left="-2160" w:firstLine="180"/>
        <w:rPr>
          <w:sz w:val="24"/>
        </w:rPr>
      </w:pPr>
      <w:r>
        <w:rPr>
          <w:sz w:val="24"/>
        </w:rPr>
        <w:t>USD(P&amp;R)/MC&amp;FP Disposition</w:t>
      </w:r>
    </w:p>
    <w:p w14:paraId="4D173F03" w14:textId="77777777" w:rsidR="00CB4BF4" w:rsidRPr="00932F0A" w:rsidRDefault="00CB4BF4" w:rsidP="00CB4BF4">
      <w:pPr>
        <w:pStyle w:val="ChapterTitle"/>
        <w:rPr>
          <w:rFonts w:asciiTheme="minorHAnsi" w:hAnsiTheme="minorHAnsi"/>
          <w:sz w:val="24"/>
        </w:rPr>
      </w:pPr>
      <w:r>
        <w:rPr>
          <w:rFonts w:asciiTheme="minorHAnsi" w:hAnsiTheme="minorHAnsi"/>
          <w:sz w:val="24"/>
        </w:rPr>
        <w:t>No further action.</w:t>
      </w:r>
    </w:p>
    <w:p w14:paraId="121B8C70" w14:textId="77777777" w:rsidR="006669CE" w:rsidRDefault="006669CE" w:rsidP="006669CE">
      <w:pPr>
        <w:pStyle w:val="Heading1"/>
        <w:tabs>
          <w:tab w:val="left" w:pos="6675"/>
        </w:tabs>
        <w:ind w:left="-2160" w:firstLine="180"/>
        <w:rPr>
          <w:sz w:val="24"/>
        </w:rPr>
      </w:pPr>
    </w:p>
    <w:p w14:paraId="507B6F87" w14:textId="77777777" w:rsidR="00CB4BF4" w:rsidRDefault="00CB4BF4" w:rsidP="00CB4BF4">
      <w:pPr>
        <w:ind w:left="-1980"/>
        <w:rPr>
          <w:rFonts w:ascii="Arial Black" w:hAnsi="Arial Black"/>
          <w:b/>
          <w:color w:val="4F2D7F"/>
          <w:sz w:val="24"/>
        </w:rPr>
      </w:pPr>
      <w:r>
        <w:rPr>
          <w:rFonts w:ascii="Arial Black" w:hAnsi="Arial Black"/>
          <w:b/>
          <w:color w:val="4F2D7F"/>
          <w:sz w:val="24"/>
        </w:rPr>
        <w:t>DFAS Disposition</w:t>
      </w:r>
    </w:p>
    <w:p w14:paraId="189AB00D" w14:textId="1BE66E25" w:rsidR="00CB4BF4" w:rsidRPr="00932F0A" w:rsidRDefault="00CB4BF4" w:rsidP="00CB4BF4">
      <w:pPr>
        <w:pStyle w:val="ChapterTitle"/>
        <w:rPr>
          <w:rFonts w:asciiTheme="minorHAnsi" w:hAnsiTheme="minorHAnsi"/>
          <w:sz w:val="24"/>
        </w:rPr>
      </w:pPr>
      <w:r>
        <w:rPr>
          <w:rFonts w:asciiTheme="minorHAnsi" w:hAnsiTheme="minorHAnsi"/>
          <w:sz w:val="24"/>
        </w:rPr>
        <w:t>Update DoD FMR</w:t>
      </w:r>
      <w:r w:rsidR="005F2D18">
        <w:rPr>
          <w:rFonts w:asciiTheme="minorHAnsi" w:hAnsiTheme="minorHAnsi"/>
          <w:sz w:val="24"/>
        </w:rPr>
        <w:t xml:space="preserve"> </w:t>
      </w:r>
      <w:r w:rsidR="005F2D18" w:rsidRPr="005F2D18">
        <w:rPr>
          <w:rFonts w:asciiTheme="minorHAnsi" w:hAnsiTheme="minorHAnsi"/>
          <w:sz w:val="24"/>
        </w:rPr>
        <w:t xml:space="preserve">to state that </w:t>
      </w:r>
      <w:r w:rsidR="005F2D18">
        <w:rPr>
          <w:rFonts w:asciiTheme="minorHAnsi" w:hAnsiTheme="minorHAnsi"/>
          <w:sz w:val="24"/>
        </w:rPr>
        <w:t xml:space="preserve">financial statements should include material </w:t>
      </w:r>
      <w:r w:rsidR="005F2D18" w:rsidRPr="005F2D18">
        <w:rPr>
          <w:rFonts w:asciiTheme="minorHAnsi" w:hAnsiTheme="minorHAnsi"/>
          <w:sz w:val="24"/>
        </w:rPr>
        <w:t>donations of assets and services</w:t>
      </w:r>
      <w:r>
        <w:rPr>
          <w:rFonts w:asciiTheme="minorHAnsi" w:hAnsiTheme="minorHAnsi"/>
          <w:sz w:val="24"/>
        </w:rPr>
        <w:t>.</w:t>
      </w:r>
    </w:p>
    <w:p w14:paraId="121B8C74" w14:textId="77777777" w:rsidR="006669CE" w:rsidRPr="007B3038" w:rsidRDefault="006669CE" w:rsidP="006669CE">
      <w:pPr>
        <w:ind w:left="-810"/>
        <w:rPr>
          <w:sz w:val="24"/>
        </w:rPr>
      </w:pPr>
      <w:r w:rsidRPr="007B3038">
        <w:rPr>
          <w:sz w:val="24"/>
        </w:rPr>
        <w:t xml:space="preserve">       </w:t>
      </w:r>
    </w:p>
    <w:p w14:paraId="04A9D3DA" w14:textId="77777777" w:rsidR="00CB4BF4" w:rsidRDefault="00CB4BF4" w:rsidP="00CB4BF4">
      <w:pPr>
        <w:pStyle w:val="Heading1"/>
        <w:tabs>
          <w:tab w:val="left" w:pos="6675"/>
        </w:tabs>
        <w:ind w:left="-2160" w:firstLine="180"/>
        <w:rPr>
          <w:sz w:val="24"/>
        </w:rPr>
      </w:pPr>
      <w:r>
        <w:rPr>
          <w:sz w:val="24"/>
        </w:rPr>
        <w:t>Forward to</w:t>
      </w:r>
      <w:r w:rsidRPr="007B3038">
        <w:rPr>
          <w:sz w:val="24"/>
        </w:rPr>
        <w:t xml:space="preserve"> DoD</w:t>
      </w:r>
      <w:r>
        <w:rPr>
          <w:sz w:val="24"/>
        </w:rPr>
        <w:t>IG</w:t>
      </w:r>
      <w:r w:rsidRPr="007B3038">
        <w:rPr>
          <w:sz w:val="24"/>
        </w:rPr>
        <w:t>?</w:t>
      </w:r>
    </w:p>
    <w:p w14:paraId="15A1776D" w14:textId="3CD15483" w:rsidR="00CB4BF4" w:rsidRPr="00932F0A" w:rsidRDefault="00CB4BF4" w:rsidP="00CB4BF4">
      <w:pPr>
        <w:pStyle w:val="ChapterTitle"/>
        <w:rPr>
          <w:rFonts w:asciiTheme="minorHAnsi" w:hAnsiTheme="minorHAnsi"/>
          <w:sz w:val="24"/>
        </w:rPr>
      </w:pPr>
      <w:r w:rsidRPr="00932F0A">
        <w:rPr>
          <w:rFonts w:asciiTheme="minorHAnsi" w:hAnsiTheme="minorHAnsi"/>
          <w:sz w:val="24"/>
        </w:rPr>
        <w:t xml:space="preserve">No </w:t>
      </w:r>
      <w:r w:rsidR="005F2D18">
        <w:rPr>
          <w:rFonts w:asciiTheme="minorHAnsi" w:hAnsiTheme="minorHAnsi"/>
          <w:sz w:val="24"/>
        </w:rPr>
        <w:t>DoDIG equities</w:t>
      </w:r>
      <w:r>
        <w:rPr>
          <w:rFonts w:asciiTheme="minorHAnsi" w:hAnsiTheme="minorHAnsi"/>
          <w:sz w:val="24"/>
        </w:rPr>
        <w:t xml:space="preserve">. </w:t>
      </w:r>
    </w:p>
    <w:p w14:paraId="121B8C76" w14:textId="77777777" w:rsidR="006669CE" w:rsidRPr="00F47C97" w:rsidRDefault="006669CE" w:rsidP="006669CE">
      <w:pPr>
        <w:pStyle w:val="Heading1"/>
        <w:tabs>
          <w:tab w:val="left" w:pos="6675"/>
        </w:tabs>
        <w:ind w:left="-2160" w:firstLine="180"/>
        <w:rPr>
          <w:sz w:val="24"/>
        </w:rPr>
      </w:pPr>
    </w:p>
    <w:p w14:paraId="121B8C77" w14:textId="77777777" w:rsidR="00926B80" w:rsidRPr="0076168A" w:rsidRDefault="00926B80" w:rsidP="006669CE">
      <w:pPr>
        <w:pStyle w:val="Heading1"/>
        <w:tabs>
          <w:tab w:val="left" w:pos="6675"/>
        </w:tabs>
        <w:ind w:left="-2160" w:firstLine="180"/>
        <w:rPr>
          <w:rFonts w:asciiTheme="minorHAnsi" w:hAnsiTheme="minorHAnsi"/>
        </w:rPr>
      </w:pPr>
    </w:p>
    <w:sectPr w:rsidR="00926B80" w:rsidRPr="0076168A" w:rsidSect="00BB5F9B">
      <w:headerReference w:type="default" r:id="rId11"/>
      <w:footerReference w:type="default" r:id="rId12"/>
      <w:pgSz w:w="15840" w:h="12240" w:orient="landscape" w:code="1"/>
      <w:pgMar w:top="1985" w:right="821" w:bottom="1138" w:left="2608" w:header="720" w:footer="5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6A4FB2" w14:textId="77777777" w:rsidR="00C96AD0" w:rsidRDefault="00C96AD0">
      <w:r>
        <w:separator/>
      </w:r>
    </w:p>
  </w:endnote>
  <w:endnote w:type="continuationSeparator" w:id="0">
    <w:p w14:paraId="5A72B84D" w14:textId="77777777" w:rsidR="00C96AD0" w:rsidRDefault="00C96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420940"/>
      <w:docPartObj>
        <w:docPartGallery w:val="Page Numbers (Bottom of Page)"/>
        <w:docPartUnique/>
      </w:docPartObj>
    </w:sdtPr>
    <w:sdtEndPr>
      <w:rPr>
        <w:noProof/>
      </w:rPr>
    </w:sdtEndPr>
    <w:sdtContent>
      <w:p w14:paraId="121B8C7E" w14:textId="3DC7D5E6" w:rsidR="001B3190" w:rsidRDefault="00834B9A" w:rsidP="001B3190">
        <w:pPr>
          <w:pStyle w:val="Footer"/>
          <w:jc w:val="right"/>
          <w:rPr>
            <w:noProof/>
          </w:rPr>
        </w:pPr>
        <w:r>
          <w:fldChar w:fldCharType="begin"/>
        </w:r>
        <w:r>
          <w:instrText xml:space="preserve"> PAGE   \* MERGEFORMAT </w:instrText>
        </w:r>
        <w:r>
          <w:fldChar w:fldCharType="separate"/>
        </w:r>
        <w:r w:rsidR="00635909">
          <w:rPr>
            <w:noProof/>
          </w:rPr>
          <w:t>7</w:t>
        </w:r>
        <w:r>
          <w:rPr>
            <w:noProof/>
          </w:rPr>
          <w:fldChar w:fldCharType="end"/>
        </w:r>
      </w:p>
      <w:p w14:paraId="121B8C7F" w14:textId="01C72ACA" w:rsidR="00834B9A" w:rsidRDefault="002C4487" w:rsidP="001B3190">
        <w:pPr>
          <w:pStyle w:val="Footer"/>
          <w:jc w:val="right"/>
        </w:pPr>
        <w:r>
          <w:rPr>
            <w:noProof/>
          </w:rPr>
          <w:t>October 8</w:t>
        </w:r>
        <w:r w:rsidR="001B3190">
          <w:rPr>
            <w:noProof/>
          </w:rPr>
          <w:t>, 201</w:t>
        </w:r>
        <w:r w:rsidR="009F7D31">
          <w:rPr>
            <w:noProof/>
          </w:rPr>
          <w:t>8</w:t>
        </w:r>
      </w:p>
    </w:sdtContent>
  </w:sdt>
  <w:p w14:paraId="121B8C80" w14:textId="77777777" w:rsidR="00834B9A" w:rsidRDefault="00834B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C44B2C" w14:textId="77777777" w:rsidR="00C96AD0" w:rsidRDefault="00C96AD0">
      <w:r>
        <w:separator/>
      </w:r>
    </w:p>
  </w:footnote>
  <w:footnote w:type="continuationSeparator" w:id="0">
    <w:p w14:paraId="30B62465" w14:textId="77777777" w:rsidR="00C96AD0" w:rsidRDefault="00C96A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ECD418" w14:textId="77777777" w:rsidR="00981EBD" w:rsidRDefault="00981EBD" w:rsidP="009F7D31">
    <w:pPr>
      <w:pStyle w:val="Header"/>
      <w:ind w:right="1440"/>
      <w:jc w:val="center"/>
      <w:rPr>
        <w:rFonts w:asciiTheme="minorHAnsi" w:hAnsiTheme="minorHAnsi"/>
        <w:sz w:val="32"/>
      </w:rPr>
    </w:pPr>
    <w:r>
      <w:rPr>
        <w:rFonts w:asciiTheme="minorHAnsi" w:hAnsiTheme="minorHAnsi"/>
        <w:sz w:val="32"/>
      </w:rPr>
      <w:t>NAF Accounting Working Group</w:t>
    </w:r>
  </w:p>
  <w:p w14:paraId="121B8C7C" w14:textId="51CB32A7" w:rsidR="00834B9A" w:rsidRDefault="00576CA4" w:rsidP="009F7D31">
    <w:pPr>
      <w:pStyle w:val="Header"/>
      <w:ind w:right="1440"/>
      <w:jc w:val="center"/>
      <w:rPr>
        <w:rFonts w:asciiTheme="minorHAnsi" w:hAnsiTheme="minorHAnsi"/>
        <w:sz w:val="32"/>
      </w:rPr>
    </w:pPr>
    <w:r>
      <w:rPr>
        <w:rFonts w:asciiTheme="minorHAnsi" w:hAnsiTheme="minorHAnsi"/>
        <w:sz w:val="32"/>
      </w:rPr>
      <w:t>Donations In-Kind</w:t>
    </w:r>
  </w:p>
  <w:p w14:paraId="121B8C7D" w14:textId="533AF5C1" w:rsidR="00834B9A" w:rsidRPr="00437683" w:rsidRDefault="007245E9" w:rsidP="009F7D31">
    <w:pPr>
      <w:pStyle w:val="Header"/>
      <w:ind w:right="1440"/>
      <w:jc w:val="center"/>
      <w:rPr>
        <w:rFonts w:asciiTheme="minorHAnsi" w:hAnsiTheme="minorHAnsi"/>
        <w:sz w:val="32"/>
      </w:rPr>
    </w:pPr>
    <w:r>
      <w:rPr>
        <w:rFonts w:asciiTheme="minorHAnsi" w:hAnsiTheme="minorHAnsi"/>
        <w:sz w:val="32"/>
      </w:rPr>
      <w:t>Position</w:t>
    </w:r>
    <w:r w:rsidR="00D0530D">
      <w:rPr>
        <w:rFonts w:asciiTheme="minorHAnsi" w:hAnsiTheme="minorHAnsi"/>
        <w:sz w:val="32"/>
      </w:rPr>
      <w:t xml:space="preserve"> </w:t>
    </w:r>
    <w:r w:rsidR="00813D9E">
      <w:rPr>
        <w:rFonts w:asciiTheme="minorHAnsi" w:hAnsiTheme="minorHAnsi"/>
        <w:sz w:val="32"/>
      </w:rPr>
      <w:t>Paper</w:t>
    </w:r>
    <w:r w:rsidR="00834B9A">
      <w:rPr>
        <w:rFonts w:asciiTheme="minorHAnsi" w:hAnsiTheme="minorHAnsi"/>
        <w:sz w:val="32"/>
      </w:rPr>
      <w:t xml:space="preserve"> </w:t>
    </w:r>
    <w:r w:rsidR="00576CA4">
      <w:rPr>
        <w:rFonts w:asciiTheme="minorHAnsi" w:hAnsiTheme="minorHAnsi"/>
        <w:sz w:val="32"/>
      </w:rPr>
      <w:t>#26</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8D457C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1C4CFF0"/>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1D62AAEE"/>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D2629A8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7D64DB6"/>
    <w:lvl w:ilvl="0">
      <w:start w:val="1"/>
      <w:numFmt w:val="bullet"/>
      <w:pStyle w:val="ListBullet3"/>
      <w:lvlText w:val=""/>
      <w:lvlJc w:val="left"/>
      <w:pPr>
        <w:tabs>
          <w:tab w:val="num" w:pos="1588"/>
        </w:tabs>
        <w:ind w:left="1588" w:hanging="908"/>
      </w:pPr>
      <w:rPr>
        <w:rFonts w:ascii="Symbol" w:hAnsi="Symbol" w:hint="default"/>
        <w:color w:val="632163"/>
      </w:rPr>
    </w:lvl>
  </w:abstractNum>
  <w:abstractNum w:abstractNumId="5" w15:restartNumberingAfterBreak="0">
    <w:nsid w:val="058F5F58"/>
    <w:multiLevelType w:val="hybridMultilevel"/>
    <w:tmpl w:val="FC389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CD4187"/>
    <w:multiLevelType w:val="multilevel"/>
    <w:tmpl w:val="693227E4"/>
    <w:lvl w:ilvl="0">
      <w:start w:val="1"/>
      <w:numFmt w:val="bullet"/>
      <w:pStyle w:val="ListBullet"/>
      <w:lvlText w:val=""/>
      <w:lvlJc w:val="left"/>
      <w:pPr>
        <w:tabs>
          <w:tab w:val="num" w:pos="227"/>
        </w:tabs>
        <w:ind w:left="227" w:hanging="227"/>
      </w:pPr>
      <w:rPr>
        <w:rFonts w:ascii="Symbol" w:hAnsi="Symbol" w:hint="default"/>
        <w:color w:val="auto"/>
      </w:rPr>
    </w:lvl>
    <w:lvl w:ilvl="1">
      <w:start w:val="1"/>
      <w:numFmt w:val="bullet"/>
      <w:pStyle w:val="ListBullet2"/>
      <w:lvlText w:val=""/>
      <w:lvlJc w:val="left"/>
      <w:pPr>
        <w:tabs>
          <w:tab w:val="num" w:pos="454"/>
        </w:tabs>
        <w:ind w:left="454" w:hanging="227"/>
      </w:pPr>
      <w:rPr>
        <w:rFonts w:ascii="Symbol" w:hAnsi="Symbo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 w15:restartNumberingAfterBreak="0">
    <w:nsid w:val="0F705FE4"/>
    <w:multiLevelType w:val="hybridMultilevel"/>
    <w:tmpl w:val="C8C6CD40"/>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A03FBA"/>
    <w:multiLevelType w:val="hybridMultilevel"/>
    <w:tmpl w:val="EDB008E6"/>
    <w:lvl w:ilvl="0" w:tplc="A11A11A2">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9" w15:restartNumberingAfterBreak="0">
    <w:nsid w:val="16AF5E4B"/>
    <w:multiLevelType w:val="multilevel"/>
    <w:tmpl w:val="21865640"/>
    <w:lvl w:ilvl="0">
      <w:start w:val="1"/>
      <w:numFmt w:val="bullet"/>
      <w:pStyle w:val="ParagraphBullet"/>
      <w:lvlText w:val=""/>
      <w:lvlJc w:val="left"/>
      <w:pPr>
        <w:tabs>
          <w:tab w:val="num" w:pos="227"/>
        </w:tabs>
        <w:ind w:left="227" w:hanging="227"/>
      </w:pPr>
      <w:rPr>
        <w:rFonts w:ascii="Symbol" w:hAnsi="Symbol" w:hint="default"/>
        <w:color w:val="auto"/>
      </w:rPr>
    </w:lvl>
    <w:lvl w:ilvl="1">
      <w:start w:val="1"/>
      <w:numFmt w:val="bullet"/>
      <w:pStyle w:val="ParagraphBullet2"/>
      <w:lvlText w:val=""/>
      <w:lvlJc w:val="left"/>
      <w:pPr>
        <w:tabs>
          <w:tab w:val="num" w:pos="454"/>
        </w:tabs>
        <w:ind w:left="454" w:hanging="227"/>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1DF1694F"/>
    <w:multiLevelType w:val="hybridMultilevel"/>
    <w:tmpl w:val="6EBEE4A0"/>
    <w:lvl w:ilvl="0" w:tplc="9DE6E73C">
      <w:numFmt w:val="bullet"/>
      <w:lvlText w:val="-"/>
      <w:lvlJc w:val="left"/>
      <w:pPr>
        <w:ind w:left="720" w:hanging="360"/>
      </w:pPr>
      <w:rPr>
        <w:rFonts w:ascii="Garamond" w:eastAsia="Times New Roman"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6E28B7"/>
    <w:multiLevelType w:val="hybridMultilevel"/>
    <w:tmpl w:val="BC9EB0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C63987"/>
    <w:multiLevelType w:val="hybridMultilevel"/>
    <w:tmpl w:val="7BA298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662B4F"/>
    <w:multiLevelType w:val="hybridMultilevel"/>
    <w:tmpl w:val="581CBC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F90B32"/>
    <w:multiLevelType w:val="hybridMultilevel"/>
    <w:tmpl w:val="C85A9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3D545A"/>
    <w:multiLevelType w:val="multilevel"/>
    <w:tmpl w:val="4484EAB8"/>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6" w15:restartNumberingAfterBreak="0">
    <w:nsid w:val="36F75EBB"/>
    <w:multiLevelType w:val="hybridMultilevel"/>
    <w:tmpl w:val="E6FAB672"/>
    <w:lvl w:ilvl="0" w:tplc="A11A11A2">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7" w15:restartNumberingAfterBreak="0">
    <w:nsid w:val="387A6AE0"/>
    <w:multiLevelType w:val="multilevel"/>
    <w:tmpl w:val="917A5788"/>
    <w:lvl w:ilvl="0">
      <w:start w:val="1"/>
      <w:numFmt w:val="decimal"/>
      <w:pStyle w:val="NumberedHeading1"/>
      <w:lvlText w:val="%1"/>
      <w:lvlJc w:val="left"/>
      <w:pPr>
        <w:tabs>
          <w:tab w:val="num" w:pos="851"/>
        </w:tabs>
        <w:ind w:left="851" w:hanging="851"/>
      </w:pPr>
      <w:rPr>
        <w:rFonts w:hint="default"/>
      </w:rPr>
    </w:lvl>
    <w:lvl w:ilvl="1">
      <w:start w:val="1"/>
      <w:numFmt w:val="decimal"/>
      <w:pStyle w:val="NumberedHeading2"/>
      <w:lvlText w:val="%1.%2"/>
      <w:lvlJc w:val="left"/>
      <w:pPr>
        <w:tabs>
          <w:tab w:val="num" w:pos="851"/>
        </w:tabs>
        <w:ind w:left="851" w:hanging="851"/>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39BD34EC"/>
    <w:multiLevelType w:val="hybridMultilevel"/>
    <w:tmpl w:val="FA8A26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EAD3DCF"/>
    <w:multiLevelType w:val="hybridMultilevel"/>
    <w:tmpl w:val="B6626D7E"/>
    <w:lvl w:ilvl="0" w:tplc="04090001">
      <w:start w:val="1"/>
      <w:numFmt w:val="bullet"/>
      <w:lvlText w:val=""/>
      <w:lvlJc w:val="left"/>
      <w:pPr>
        <w:ind w:left="720" w:hanging="360"/>
      </w:pPr>
      <w:rPr>
        <w:rFonts w:ascii="Symbol" w:hAnsi="Symbol" w:hint="default"/>
      </w:rPr>
    </w:lvl>
    <w:lvl w:ilvl="1" w:tplc="A11A11A2">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7F6362"/>
    <w:multiLevelType w:val="hybridMultilevel"/>
    <w:tmpl w:val="E8FC8F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BAC654D"/>
    <w:multiLevelType w:val="hybridMultilevel"/>
    <w:tmpl w:val="A53A0DE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73F13057"/>
    <w:multiLevelType w:val="hybridMultilevel"/>
    <w:tmpl w:val="C85A9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65850D9"/>
    <w:multiLevelType w:val="hybridMultilevel"/>
    <w:tmpl w:val="D5D2928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78594E96"/>
    <w:multiLevelType w:val="multilevel"/>
    <w:tmpl w:val="45821930"/>
    <w:lvl w:ilvl="0">
      <w:start w:val="1"/>
      <w:numFmt w:val="decimal"/>
      <w:pStyle w:val="ListNumber"/>
      <w:lvlText w:val="%1"/>
      <w:lvlJc w:val="left"/>
      <w:pPr>
        <w:tabs>
          <w:tab w:val="num" w:pos="357"/>
        </w:tabs>
        <w:ind w:left="357" w:hanging="357"/>
      </w:pPr>
      <w:rPr>
        <w:rFonts w:hint="default"/>
      </w:rPr>
    </w:lvl>
    <w:lvl w:ilvl="1">
      <w:start w:val="1"/>
      <w:numFmt w:val="lowerLetter"/>
      <w:pStyle w:val="ListNumber2"/>
      <w:lvlText w:val="%2"/>
      <w:lvlJc w:val="left"/>
      <w:pPr>
        <w:tabs>
          <w:tab w:val="num" w:pos="714"/>
        </w:tabs>
        <w:ind w:left="714" w:hanging="357"/>
      </w:pPr>
      <w:rPr>
        <w:rFonts w:hint="default"/>
      </w:rPr>
    </w:lvl>
    <w:lvl w:ilvl="2">
      <w:start w:val="1"/>
      <w:numFmt w:val="lowerRoman"/>
      <w:pStyle w:val="ListNumber3"/>
      <w:lvlText w:val="%3"/>
      <w:lvlJc w:val="left"/>
      <w:pPr>
        <w:tabs>
          <w:tab w:val="num" w:pos="1072"/>
        </w:tabs>
        <w:ind w:left="1072" w:hanging="358"/>
      </w:pPr>
      <w:rPr>
        <w:rFonts w:hint="default"/>
      </w:rPr>
    </w:lvl>
    <w:lvl w:ilvl="3">
      <w:start w:val="1"/>
      <w:numFmt w:val="decimal"/>
      <w:lvlText w:val="%1.%2.%3.%4"/>
      <w:lvlJc w:val="right"/>
      <w:pPr>
        <w:tabs>
          <w:tab w:val="num" w:pos="3969"/>
        </w:tabs>
        <w:ind w:left="3969" w:hanging="1361"/>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7AAC6626"/>
    <w:multiLevelType w:val="hybridMultilevel"/>
    <w:tmpl w:val="C85A9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4"/>
  </w:num>
  <w:num w:numId="3">
    <w:abstractNumId w:val="6"/>
  </w:num>
  <w:num w:numId="4">
    <w:abstractNumId w:val="3"/>
  </w:num>
  <w:num w:numId="5">
    <w:abstractNumId w:val="2"/>
  </w:num>
  <w:num w:numId="6">
    <w:abstractNumId w:val="1"/>
  </w:num>
  <w:num w:numId="7">
    <w:abstractNumId w:val="0"/>
  </w:num>
  <w:num w:numId="8">
    <w:abstractNumId w:val="9"/>
  </w:num>
  <w:num w:numId="9">
    <w:abstractNumId w:val="17"/>
  </w:num>
  <w:num w:numId="10">
    <w:abstractNumId w:val="15"/>
  </w:num>
  <w:num w:numId="11">
    <w:abstractNumId w:val="13"/>
  </w:num>
  <w:num w:numId="12">
    <w:abstractNumId w:val="16"/>
  </w:num>
  <w:num w:numId="13">
    <w:abstractNumId w:val="8"/>
  </w:num>
  <w:num w:numId="14">
    <w:abstractNumId w:val="12"/>
  </w:num>
  <w:num w:numId="15">
    <w:abstractNumId w:val="19"/>
  </w:num>
  <w:num w:numId="16">
    <w:abstractNumId w:val="5"/>
  </w:num>
  <w:num w:numId="17">
    <w:abstractNumId w:val="14"/>
  </w:num>
  <w:num w:numId="18">
    <w:abstractNumId w:val="25"/>
  </w:num>
  <w:num w:numId="19">
    <w:abstractNumId w:val="22"/>
  </w:num>
  <w:num w:numId="20">
    <w:abstractNumId w:val="18"/>
  </w:num>
  <w:num w:numId="21">
    <w:abstractNumId w:val="7"/>
  </w:num>
  <w:num w:numId="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num>
  <w:num w:numId="24">
    <w:abstractNumId w:val="23"/>
  </w:num>
  <w:num w:numId="25">
    <w:abstractNumId w:val="20"/>
  </w:num>
  <w:num w:numId="26">
    <w:abstractNumId w:val="10"/>
  </w:num>
  <w:num w:numId="27">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10"/>
  <w:displayHorizontalDrawingGridEvery w:val="2"/>
  <w:displayVerticalDrawingGridEvery w:val="2"/>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EF7"/>
    <w:rsid w:val="00001110"/>
    <w:rsid w:val="00020ABF"/>
    <w:rsid w:val="00035078"/>
    <w:rsid w:val="000626F8"/>
    <w:rsid w:val="00074688"/>
    <w:rsid w:val="00074A55"/>
    <w:rsid w:val="00086875"/>
    <w:rsid w:val="0009309E"/>
    <w:rsid w:val="0009688F"/>
    <w:rsid w:val="000A17EB"/>
    <w:rsid w:val="000B0C7A"/>
    <w:rsid w:val="000B29A4"/>
    <w:rsid w:val="000B3111"/>
    <w:rsid w:val="000C7B49"/>
    <w:rsid w:val="000D3C52"/>
    <w:rsid w:val="000E5196"/>
    <w:rsid w:val="000F700D"/>
    <w:rsid w:val="00124B72"/>
    <w:rsid w:val="0012715F"/>
    <w:rsid w:val="00156EF7"/>
    <w:rsid w:val="00177B07"/>
    <w:rsid w:val="00191D48"/>
    <w:rsid w:val="001A3E35"/>
    <w:rsid w:val="001A7F18"/>
    <w:rsid w:val="001B3190"/>
    <w:rsid w:val="001B6DBD"/>
    <w:rsid w:val="001C7960"/>
    <w:rsid w:val="001D3D83"/>
    <w:rsid w:val="001D40C4"/>
    <w:rsid w:val="001D4837"/>
    <w:rsid w:val="001E45B8"/>
    <w:rsid w:val="001E60EE"/>
    <w:rsid w:val="001E6F57"/>
    <w:rsid w:val="00200A58"/>
    <w:rsid w:val="00202660"/>
    <w:rsid w:val="002050FD"/>
    <w:rsid w:val="00213D94"/>
    <w:rsid w:val="002208F1"/>
    <w:rsid w:val="00244470"/>
    <w:rsid w:val="002479EF"/>
    <w:rsid w:val="00252225"/>
    <w:rsid w:val="00254FC0"/>
    <w:rsid w:val="00257D56"/>
    <w:rsid w:val="00277DC7"/>
    <w:rsid w:val="00281D8A"/>
    <w:rsid w:val="002A5078"/>
    <w:rsid w:val="002A5C61"/>
    <w:rsid w:val="002B2A4C"/>
    <w:rsid w:val="002C0344"/>
    <w:rsid w:val="002C131F"/>
    <w:rsid w:val="002C4487"/>
    <w:rsid w:val="002C51B2"/>
    <w:rsid w:val="002D353F"/>
    <w:rsid w:val="002D71C8"/>
    <w:rsid w:val="002F6648"/>
    <w:rsid w:val="0030084D"/>
    <w:rsid w:val="00305C57"/>
    <w:rsid w:val="0030628A"/>
    <w:rsid w:val="00306844"/>
    <w:rsid w:val="003312FA"/>
    <w:rsid w:val="00364E5E"/>
    <w:rsid w:val="00375E78"/>
    <w:rsid w:val="00384C83"/>
    <w:rsid w:val="00391BB7"/>
    <w:rsid w:val="00395FE0"/>
    <w:rsid w:val="003A1F25"/>
    <w:rsid w:val="003A4708"/>
    <w:rsid w:val="003B345C"/>
    <w:rsid w:val="003B380F"/>
    <w:rsid w:val="003D27B2"/>
    <w:rsid w:val="003E28A0"/>
    <w:rsid w:val="003E7371"/>
    <w:rsid w:val="003F016B"/>
    <w:rsid w:val="003F67D0"/>
    <w:rsid w:val="004130A3"/>
    <w:rsid w:val="00421A6E"/>
    <w:rsid w:val="0042201D"/>
    <w:rsid w:val="004230CA"/>
    <w:rsid w:val="00426453"/>
    <w:rsid w:val="00437683"/>
    <w:rsid w:val="0044428A"/>
    <w:rsid w:val="00464DAE"/>
    <w:rsid w:val="004855CF"/>
    <w:rsid w:val="00491258"/>
    <w:rsid w:val="004948C8"/>
    <w:rsid w:val="004B04B3"/>
    <w:rsid w:val="004B15F8"/>
    <w:rsid w:val="004C13D3"/>
    <w:rsid w:val="004C60DD"/>
    <w:rsid w:val="004D0D0D"/>
    <w:rsid w:val="004D45F1"/>
    <w:rsid w:val="004E456D"/>
    <w:rsid w:val="00500559"/>
    <w:rsid w:val="005056DF"/>
    <w:rsid w:val="00512B7B"/>
    <w:rsid w:val="00517E60"/>
    <w:rsid w:val="00520EF0"/>
    <w:rsid w:val="00521FAB"/>
    <w:rsid w:val="005445C4"/>
    <w:rsid w:val="00555046"/>
    <w:rsid w:val="00556680"/>
    <w:rsid w:val="0056384A"/>
    <w:rsid w:val="00576CA4"/>
    <w:rsid w:val="00583174"/>
    <w:rsid w:val="00585D05"/>
    <w:rsid w:val="00595D1F"/>
    <w:rsid w:val="00596979"/>
    <w:rsid w:val="00596B0D"/>
    <w:rsid w:val="005B36B4"/>
    <w:rsid w:val="005B382E"/>
    <w:rsid w:val="005B5833"/>
    <w:rsid w:val="005C0A12"/>
    <w:rsid w:val="005D3273"/>
    <w:rsid w:val="005D4A27"/>
    <w:rsid w:val="005D7123"/>
    <w:rsid w:val="005F2D18"/>
    <w:rsid w:val="005F3D8E"/>
    <w:rsid w:val="005F4E22"/>
    <w:rsid w:val="005F5727"/>
    <w:rsid w:val="006031EE"/>
    <w:rsid w:val="00614C6D"/>
    <w:rsid w:val="00614F7A"/>
    <w:rsid w:val="00617250"/>
    <w:rsid w:val="006227D6"/>
    <w:rsid w:val="00635909"/>
    <w:rsid w:val="0065297E"/>
    <w:rsid w:val="00653EA4"/>
    <w:rsid w:val="00655FDE"/>
    <w:rsid w:val="00657552"/>
    <w:rsid w:val="0066365E"/>
    <w:rsid w:val="006669CE"/>
    <w:rsid w:val="00671B99"/>
    <w:rsid w:val="00677C39"/>
    <w:rsid w:val="00680AC5"/>
    <w:rsid w:val="00692044"/>
    <w:rsid w:val="00694F03"/>
    <w:rsid w:val="006959C4"/>
    <w:rsid w:val="00695E3D"/>
    <w:rsid w:val="0069734A"/>
    <w:rsid w:val="00697821"/>
    <w:rsid w:val="006A33C6"/>
    <w:rsid w:val="006A6235"/>
    <w:rsid w:val="006B07F7"/>
    <w:rsid w:val="006B6336"/>
    <w:rsid w:val="006B75A6"/>
    <w:rsid w:val="006C1360"/>
    <w:rsid w:val="006E52F9"/>
    <w:rsid w:val="00713DA9"/>
    <w:rsid w:val="007245E9"/>
    <w:rsid w:val="0075099F"/>
    <w:rsid w:val="00753436"/>
    <w:rsid w:val="007568FA"/>
    <w:rsid w:val="0076168A"/>
    <w:rsid w:val="00773A0E"/>
    <w:rsid w:val="00793390"/>
    <w:rsid w:val="007B2351"/>
    <w:rsid w:val="007B2CA1"/>
    <w:rsid w:val="007C0A6F"/>
    <w:rsid w:val="007C4C86"/>
    <w:rsid w:val="007C708F"/>
    <w:rsid w:val="007D61FB"/>
    <w:rsid w:val="007E0913"/>
    <w:rsid w:val="007E4E5C"/>
    <w:rsid w:val="007F205D"/>
    <w:rsid w:val="007F5462"/>
    <w:rsid w:val="007F6A23"/>
    <w:rsid w:val="00800B33"/>
    <w:rsid w:val="00800CD0"/>
    <w:rsid w:val="0081028A"/>
    <w:rsid w:val="00811031"/>
    <w:rsid w:val="00813D9E"/>
    <w:rsid w:val="0082211C"/>
    <w:rsid w:val="00830126"/>
    <w:rsid w:val="00834B9A"/>
    <w:rsid w:val="00835D15"/>
    <w:rsid w:val="00850E2C"/>
    <w:rsid w:val="008612FE"/>
    <w:rsid w:val="00873287"/>
    <w:rsid w:val="00884B99"/>
    <w:rsid w:val="008A3F93"/>
    <w:rsid w:val="008A6680"/>
    <w:rsid w:val="008C1BBF"/>
    <w:rsid w:val="008C2E4C"/>
    <w:rsid w:val="008D0F79"/>
    <w:rsid w:val="008D5099"/>
    <w:rsid w:val="008D63F1"/>
    <w:rsid w:val="008E0834"/>
    <w:rsid w:val="00903A0C"/>
    <w:rsid w:val="009176E5"/>
    <w:rsid w:val="009178E1"/>
    <w:rsid w:val="00922BDE"/>
    <w:rsid w:val="00926B80"/>
    <w:rsid w:val="00927A3F"/>
    <w:rsid w:val="009321A5"/>
    <w:rsid w:val="0093411F"/>
    <w:rsid w:val="0093757F"/>
    <w:rsid w:val="0094464C"/>
    <w:rsid w:val="0094703B"/>
    <w:rsid w:val="00951C84"/>
    <w:rsid w:val="00960D01"/>
    <w:rsid w:val="00962760"/>
    <w:rsid w:val="00963CF5"/>
    <w:rsid w:val="00967904"/>
    <w:rsid w:val="0097176A"/>
    <w:rsid w:val="009728E5"/>
    <w:rsid w:val="0097387D"/>
    <w:rsid w:val="00981EBD"/>
    <w:rsid w:val="00983C17"/>
    <w:rsid w:val="0099726B"/>
    <w:rsid w:val="009B373B"/>
    <w:rsid w:val="009B46A7"/>
    <w:rsid w:val="009C49B1"/>
    <w:rsid w:val="009D61B1"/>
    <w:rsid w:val="009E5112"/>
    <w:rsid w:val="009F7D31"/>
    <w:rsid w:val="00A00910"/>
    <w:rsid w:val="00A07449"/>
    <w:rsid w:val="00A14CBE"/>
    <w:rsid w:val="00A31D0A"/>
    <w:rsid w:val="00A33B17"/>
    <w:rsid w:val="00A64C29"/>
    <w:rsid w:val="00A7516A"/>
    <w:rsid w:val="00A77308"/>
    <w:rsid w:val="00A868E1"/>
    <w:rsid w:val="00AC06AF"/>
    <w:rsid w:val="00AC1516"/>
    <w:rsid w:val="00AC2CD2"/>
    <w:rsid w:val="00AD192A"/>
    <w:rsid w:val="00AD3267"/>
    <w:rsid w:val="00AE07A4"/>
    <w:rsid w:val="00AE2882"/>
    <w:rsid w:val="00AE305C"/>
    <w:rsid w:val="00AE4E8B"/>
    <w:rsid w:val="00AF568D"/>
    <w:rsid w:val="00B04436"/>
    <w:rsid w:val="00B062CE"/>
    <w:rsid w:val="00B32748"/>
    <w:rsid w:val="00B32E23"/>
    <w:rsid w:val="00B34D43"/>
    <w:rsid w:val="00B3571B"/>
    <w:rsid w:val="00B37D32"/>
    <w:rsid w:val="00B426FF"/>
    <w:rsid w:val="00B506B3"/>
    <w:rsid w:val="00B555AF"/>
    <w:rsid w:val="00B55DF3"/>
    <w:rsid w:val="00B63743"/>
    <w:rsid w:val="00B72016"/>
    <w:rsid w:val="00B823CF"/>
    <w:rsid w:val="00B84B4D"/>
    <w:rsid w:val="00B90DAD"/>
    <w:rsid w:val="00BA08D7"/>
    <w:rsid w:val="00BA5A26"/>
    <w:rsid w:val="00BB10C9"/>
    <w:rsid w:val="00BB53DB"/>
    <w:rsid w:val="00BB5F9B"/>
    <w:rsid w:val="00BC370C"/>
    <w:rsid w:val="00BC420C"/>
    <w:rsid w:val="00BD441B"/>
    <w:rsid w:val="00BD7AB4"/>
    <w:rsid w:val="00BE7657"/>
    <w:rsid w:val="00BF4950"/>
    <w:rsid w:val="00C05FE2"/>
    <w:rsid w:val="00C07834"/>
    <w:rsid w:val="00C20748"/>
    <w:rsid w:val="00C26381"/>
    <w:rsid w:val="00C26B8F"/>
    <w:rsid w:val="00C26E0E"/>
    <w:rsid w:val="00C46771"/>
    <w:rsid w:val="00C50BB6"/>
    <w:rsid w:val="00C50C0E"/>
    <w:rsid w:val="00C5185F"/>
    <w:rsid w:val="00C55B6E"/>
    <w:rsid w:val="00C57363"/>
    <w:rsid w:val="00C67082"/>
    <w:rsid w:val="00C77702"/>
    <w:rsid w:val="00C910A7"/>
    <w:rsid w:val="00C914BC"/>
    <w:rsid w:val="00C91D76"/>
    <w:rsid w:val="00C91D86"/>
    <w:rsid w:val="00C92FBD"/>
    <w:rsid w:val="00C96AD0"/>
    <w:rsid w:val="00CA14CA"/>
    <w:rsid w:val="00CA44C4"/>
    <w:rsid w:val="00CB1972"/>
    <w:rsid w:val="00CB43EB"/>
    <w:rsid w:val="00CB4BF4"/>
    <w:rsid w:val="00CC031E"/>
    <w:rsid w:val="00CC097E"/>
    <w:rsid w:val="00CC0A8E"/>
    <w:rsid w:val="00CE3414"/>
    <w:rsid w:val="00CE39FF"/>
    <w:rsid w:val="00CF293F"/>
    <w:rsid w:val="00D021B1"/>
    <w:rsid w:val="00D0530D"/>
    <w:rsid w:val="00D12F3F"/>
    <w:rsid w:val="00D53D16"/>
    <w:rsid w:val="00D54911"/>
    <w:rsid w:val="00D67DAA"/>
    <w:rsid w:val="00D71751"/>
    <w:rsid w:val="00D82F4F"/>
    <w:rsid w:val="00DB28C4"/>
    <w:rsid w:val="00DC1298"/>
    <w:rsid w:val="00DC1E9B"/>
    <w:rsid w:val="00DC777B"/>
    <w:rsid w:val="00DD2BF7"/>
    <w:rsid w:val="00DD5DC6"/>
    <w:rsid w:val="00DE1F78"/>
    <w:rsid w:val="00DE346C"/>
    <w:rsid w:val="00E107AD"/>
    <w:rsid w:val="00E14DDD"/>
    <w:rsid w:val="00E21DE5"/>
    <w:rsid w:val="00E249A7"/>
    <w:rsid w:val="00E369DE"/>
    <w:rsid w:val="00E46EBA"/>
    <w:rsid w:val="00E51845"/>
    <w:rsid w:val="00E55085"/>
    <w:rsid w:val="00E749D0"/>
    <w:rsid w:val="00E774B8"/>
    <w:rsid w:val="00E82A4B"/>
    <w:rsid w:val="00E86CD3"/>
    <w:rsid w:val="00E872B0"/>
    <w:rsid w:val="00E90A82"/>
    <w:rsid w:val="00E955AC"/>
    <w:rsid w:val="00EC67E6"/>
    <w:rsid w:val="00ED2634"/>
    <w:rsid w:val="00ED6A35"/>
    <w:rsid w:val="00EE0BCD"/>
    <w:rsid w:val="00EE2645"/>
    <w:rsid w:val="00F056D3"/>
    <w:rsid w:val="00F07668"/>
    <w:rsid w:val="00F21151"/>
    <w:rsid w:val="00F240FA"/>
    <w:rsid w:val="00F26CD1"/>
    <w:rsid w:val="00F407B2"/>
    <w:rsid w:val="00F41410"/>
    <w:rsid w:val="00F44314"/>
    <w:rsid w:val="00F47B9A"/>
    <w:rsid w:val="00F54D71"/>
    <w:rsid w:val="00F55B46"/>
    <w:rsid w:val="00F56DC3"/>
    <w:rsid w:val="00F87777"/>
    <w:rsid w:val="00FA44A6"/>
    <w:rsid w:val="00FC20BB"/>
    <w:rsid w:val="00FC70BD"/>
    <w:rsid w:val="00FD6AB2"/>
    <w:rsid w:val="00FE6C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21B8C16"/>
  <w15:chartTrackingRefBased/>
  <w15:docId w15:val="{DE3CBA37-E6FA-4F7D-BE01-A24AF885D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156EF7"/>
    <w:rPr>
      <w:rFonts w:ascii="Garamond" w:hAnsi="Garamond" w:cs="Arial"/>
      <w:sz w:val="22"/>
    </w:rPr>
  </w:style>
  <w:style w:type="paragraph" w:styleId="Heading1">
    <w:name w:val="heading 1"/>
    <w:basedOn w:val="Normal"/>
    <w:next w:val="BodyText"/>
    <w:link w:val="Heading1Char"/>
    <w:qFormat/>
    <w:rsid w:val="005B36B4"/>
    <w:pPr>
      <w:keepNext/>
      <w:spacing w:line="280" w:lineRule="atLeast"/>
      <w:outlineLvl w:val="0"/>
    </w:pPr>
    <w:rPr>
      <w:rFonts w:ascii="Arial Black" w:hAnsi="Arial Black"/>
      <w:bCs/>
      <w:color w:val="4F2D7F"/>
      <w:kern w:val="32"/>
      <w:sz w:val="19"/>
      <w:szCs w:val="28"/>
    </w:rPr>
  </w:style>
  <w:style w:type="paragraph" w:styleId="Heading2">
    <w:name w:val="heading 2"/>
    <w:basedOn w:val="Heading1"/>
    <w:next w:val="BodyText"/>
    <w:link w:val="Heading2Char"/>
    <w:qFormat/>
    <w:rsid w:val="00B3571B"/>
    <w:pPr>
      <w:outlineLvl w:val="1"/>
    </w:pPr>
    <w:rPr>
      <w:bCs w:val="0"/>
      <w:color w:val="auto"/>
      <w:szCs w:val="24"/>
    </w:rPr>
  </w:style>
  <w:style w:type="paragraph" w:styleId="Heading3">
    <w:name w:val="heading 3"/>
    <w:basedOn w:val="Heading2"/>
    <w:next w:val="BodyText"/>
    <w:link w:val="Heading3Char"/>
    <w:qFormat/>
    <w:rsid w:val="00B3571B"/>
    <w:pPr>
      <w:outlineLvl w:val="2"/>
    </w:pPr>
    <w:rPr>
      <w:rFonts w:ascii="Arial" w:hAnsi="Arial"/>
      <w:bCs/>
      <w:szCs w:val="22"/>
    </w:rPr>
  </w:style>
  <w:style w:type="paragraph" w:styleId="Heading4">
    <w:name w:val="heading 4"/>
    <w:basedOn w:val="Heading3"/>
    <w:next w:val="BodyText"/>
    <w:qFormat/>
    <w:rsid w:val="00B3571B"/>
    <w:pPr>
      <w:outlineLvl w:val="3"/>
    </w:pPr>
    <w:rPr>
      <w:bCs w:val="0"/>
      <w:i/>
    </w:rPr>
  </w:style>
  <w:style w:type="paragraph" w:styleId="Heading5">
    <w:name w:val="heading 5"/>
    <w:basedOn w:val="Normal"/>
    <w:next w:val="Normal"/>
    <w:rsid w:val="00B3571B"/>
    <w:pPr>
      <w:numPr>
        <w:ilvl w:val="4"/>
        <w:numId w:val="10"/>
      </w:numPr>
      <w:spacing w:before="240" w:after="60"/>
      <w:outlineLvl w:val="4"/>
    </w:pPr>
    <w:rPr>
      <w:b/>
      <w:bCs/>
      <w:i/>
      <w:iCs/>
      <w:sz w:val="26"/>
      <w:szCs w:val="26"/>
    </w:rPr>
  </w:style>
  <w:style w:type="paragraph" w:styleId="Heading6">
    <w:name w:val="heading 6"/>
    <w:basedOn w:val="Normal"/>
    <w:next w:val="Normal"/>
    <w:rsid w:val="00B3571B"/>
    <w:pPr>
      <w:numPr>
        <w:ilvl w:val="5"/>
        <w:numId w:val="10"/>
      </w:numPr>
      <w:spacing w:before="240" w:after="60"/>
      <w:outlineLvl w:val="5"/>
    </w:pPr>
    <w:rPr>
      <w:rFonts w:ascii="Times New Roman" w:hAnsi="Times New Roman" w:cs="Times New Roman"/>
      <w:b/>
      <w:bCs/>
      <w:szCs w:val="22"/>
    </w:rPr>
  </w:style>
  <w:style w:type="paragraph" w:styleId="Heading7">
    <w:name w:val="heading 7"/>
    <w:basedOn w:val="Normal"/>
    <w:next w:val="Normal"/>
    <w:rsid w:val="00B3571B"/>
    <w:pPr>
      <w:numPr>
        <w:ilvl w:val="6"/>
        <w:numId w:val="10"/>
      </w:numPr>
      <w:spacing w:before="240" w:after="60"/>
      <w:outlineLvl w:val="6"/>
    </w:pPr>
    <w:rPr>
      <w:rFonts w:ascii="Times New Roman" w:hAnsi="Times New Roman" w:cs="Times New Roman"/>
      <w:sz w:val="24"/>
      <w:szCs w:val="24"/>
    </w:rPr>
  </w:style>
  <w:style w:type="paragraph" w:styleId="Heading8">
    <w:name w:val="heading 8"/>
    <w:basedOn w:val="Normal"/>
    <w:next w:val="Normal"/>
    <w:rsid w:val="00B3571B"/>
    <w:pPr>
      <w:numPr>
        <w:ilvl w:val="7"/>
        <w:numId w:val="10"/>
      </w:numPr>
      <w:spacing w:before="240" w:after="60"/>
      <w:outlineLvl w:val="7"/>
    </w:pPr>
    <w:rPr>
      <w:rFonts w:ascii="Times New Roman" w:hAnsi="Times New Roman" w:cs="Times New Roman"/>
      <w:i/>
      <w:iCs/>
      <w:sz w:val="24"/>
      <w:szCs w:val="24"/>
    </w:rPr>
  </w:style>
  <w:style w:type="paragraph" w:styleId="Heading9">
    <w:name w:val="heading 9"/>
    <w:basedOn w:val="Normal"/>
    <w:next w:val="Normal"/>
    <w:rsid w:val="00B3571B"/>
    <w:pPr>
      <w:numPr>
        <w:ilvl w:val="8"/>
        <w:numId w:val="10"/>
      </w:numPr>
      <w:spacing w:before="240" w:after="60"/>
      <w:outlineLvl w:val="8"/>
    </w:pPr>
    <w:rPr>
      <w:rFonts w:ascii="Arial" w:hAnsi="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after="284" w:line="280" w:lineRule="atLeast"/>
    </w:pPr>
  </w:style>
  <w:style w:type="paragraph" w:styleId="Header">
    <w:name w:val="header"/>
    <w:pPr>
      <w:tabs>
        <w:tab w:val="right" w:pos="8562"/>
      </w:tabs>
    </w:pPr>
    <w:rPr>
      <w:rFonts w:ascii="Arial" w:hAnsi="Arial" w:cs="Arial"/>
      <w:b/>
      <w:color w:val="747678"/>
      <w:sz w:val="16"/>
    </w:rPr>
  </w:style>
  <w:style w:type="paragraph" w:styleId="Footer">
    <w:name w:val="footer"/>
    <w:link w:val="FooterChar"/>
    <w:uiPriority w:val="99"/>
    <w:pPr>
      <w:tabs>
        <w:tab w:val="center" w:pos="4153"/>
        <w:tab w:val="right" w:pos="8306"/>
      </w:tabs>
    </w:pPr>
    <w:rPr>
      <w:rFonts w:ascii="Arial" w:hAnsi="Arial" w:cs="Arial"/>
      <w:b/>
      <w:color w:val="747678"/>
      <w:sz w:val="13"/>
    </w:rPr>
  </w:style>
  <w:style w:type="paragraph" w:customStyle="1" w:styleId="AppendicesTitle">
    <w:name w:val="Appendices Title"/>
    <w:basedOn w:val="Heading2"/>
    <w:next w:val="Normal"/>
  </w:style>
  <w:style w:type="paragraph" w:styleId="Title">
    <w:name w:val="Title"/>
    <w:basedOn w:val="Normal"/>
    <w:next w:val="BodyText"/>
    <w:qFormat/>
    <w:rsid w:val="00B3571B"/>
    <w:pPr>
      <w:spacing w:before="400" w:after="400" w:line="580" w:lineRule="atLeast"/>
      <w:outlineLvl w:val="0"/>
    </w:pPr>
    <w:rPr>
      <w:bCs/>
      <w:kern w:val="28"/>
      <w:sz w:val="66"/>
      <w:szCs w:val="32"/>
    </w:rPr>
  </w:style>
  <w:style w:type="paragraph" w:styleId="ListBullet2">
    <w:name w:val="List Bullet 2"/>
    <w:basedOn w:val="Normal"/>
    <w:qFormat/>
    <w:pPr>
      <w:numPr>
        <w:ilvl w:val="1"/>
        <w:numId w:val="3"/>
      </w:numPr>
      <w:spacing w:after="20" w:line="260" w:lineRule="atLeast"/>
    </w:pPr>
  </w:style>
  <w:style w:type="paragraph" w:styleId="ListNumber2">
    <w:name w:val="List Number 2"/>
    <w:basedOn w:val="Normal"/>
    <w:qFormat/>
    <w:pPr>
      <w:numPr>
        <w:ilvl w:val="1"/>
        <w:numId w:val="2"/>
      </w:numPr>
      <w:spacing w:after="284" w:line="280" w:lineRule="atLeast"/>
    </w:pPr>
  </w:style>
  <w:style w:type="paragraph" w:styleId="ListNumber">
    <w:name w:val="List Number"/>
    <w:basedOn w:val="Normal"/>
    <w:qFormat/>
    <w:pPr>
      <w:numPr>
        <w:numId w:val="2"/>
      </w:numPr>
      <w:spacing w:after="284" w:line="280" w:lineRule="atLeast"/>
    </w:pPr>
  </w:style>
  <w:style w:type="paragraph" w:styleId="TOC2">
    <w:name w:val="toc 2"/>
    <w:next w:val="Normal"/>
    <w:semiHidden/>
    <w:pPr>
      <w:tabs>
        <w:tab w:val="right" w:pos="8505"/>
      </w:tabs>
      <w:spacing w:after="100"/>
      <w:ind w:left="198"/>
    </w:pPr>
    <w:rPr>
      <w:rFonts w:ascii="Arial" w:hAnsi="Arial" w:cs="Arial"/>
      <w:sz w:val="19"/>
      <w:szCs w:val="24"/>
    </w:rPr>
  </w:style>
  <w:style w:type="paragraph" w:styleId="TOC3">
    <w:name w:val="toc 3"/>
    <w:basedOn w:val="TOC2"/>
    <w:next w:val="Normal"/>
    <w:semiHidden/>
    <w:pPr>
      <w:ind w:left="403"/>
    </w:pPr>
  </w:style>
  <w:style w:type="paragraph" w:styleId="ListBullet">
    <w:name w:val="List Bullet"/>
    <w:basedOn w:val="Normal"/>
    <w:qFormat/>
    <w:pPr>
      <w:numPr>
        <w:numId w:val="3"/>
      </w:numPr>
      <w:spacing w:after="20" w:line="280" w:lineRule="atLeast"/>
    </w:pPr>
  </w:style>
  <w:style w:type="paragraph" w:customStyle="1" w:styleId="SectionTitle">
    <w:name w:val="Section Title"/>
    <w:next w:val="BodyText"/>
    <w:qFormat/>
    <w:pPr>
      <w:spacing w:after="2520"/>
    </w:pPr>
    <w:rPr>
      <w:rFonts w:ascii="Garamond" w:hAnsi="Garamond" w:cs="Arial"/>
      <w:sz w:val="48"/>
    </w:rPr>
  </w:style>
  <w:style w:type="paragraph" w:customStyle="1" w:styleId="TableText">
    <w:name w:val="Table Text"/>
    <w:qFormat/>
    <w:rPr>
      <w:rFonts w:ascii="Arial" w:hAnsi="Arial" w:cs="Arial"/>
      <w:sz w:val="16"/>
    </w:rPr>
  </w:style>
  <w:style w:type="paragraph" w:customStyle="1" w:styleId="TintBoxTextBlack">
    <w:name w:val="Tint Box Text Black"/>
    <w:pPr>
      <w:spacing w:after="280" w:line="280" w:lineRule="atLeast"/>
    </w:pPr>
    <w:rPr>
      <w:rFonts w:ascii="Arial" w:hAnsi="Arial" w:cs="Arial"/>
      <w:b/>
    </w:rPr>
  </w:style>
  <w:style w:type="paragraph" w:customStyle="1" w:styleId="TintBoxTextWhite">
    <w:name w:val="Tint Box Text White"/>
    <w:basedOn w:val="TintBoxTextBlack"/>
    <w:rPr>
      <w:color w:val="FFFFFF"/>
    </w:rPr>
  </w:style>
  <w:style w:type="paragraph" w:customStyle="1" w:styleId="AppendixTitle">
    <w:name w:val="Appendix Title"/>
    <w:basedOn w:val="Normal"/>
    <w:next w:val="BodyText"/>
    <w:qFormat/>
    <w:pPr>
      <w:spacing w:after="2520"/>
    </w:pPr>
    <w:rPr>
      <w:bCs/>
      <w:kern w:val="28"/>
      <w:sz w:val="48"/>
      <w:szCs w:val="32"/>
    </w:rPr>
  </w:style>
  <w:style w:type="paragraph" w:styleId="ListNumber3">
    <w:name w:val="List Number 3"/>
    <w:basedOn w:val="Normal"/>
    <w:qFormat/>
    <w:pPr>
      <w:numPr>
        <w:ilvl w:val="2"/>
        <w:numId w:val="2"/>
      </w:numPr>
      <w:spacing w:after="284" w:line="280" w:lineRule="atLeast"/>
      <w:ind w:left="1071" w:hanging="357"/>
    </w:pPr>
  </w:style>
  <w:style w:type="paragraph" w:customStyle="1" w:styleId="TableHeading">
    <w:name w:val="Table Heading"/>
    <w:qFormat/>
    <w:rsid w:val="005B36B4"/>
    <w:rPr>
      <w:rFonts w:ascii="Arial" w:hAnsi="Arial" w:cs="Arial"/>
      <w:b/>
      <w:bCs/>
      <w:kern w:val="28"/>
      <w:sz w:val="18"/>
      <w:szCs w:val="32"/>
    </w:rPr>
  </w:style>
  <w:style w:type="paragraph" w:customStyle="1" w:styleId="MarginNotes">
    <w:name w:val="Margin Notes"/>
    <w:qFormat/>
    <w:rPr>
      <w:rFonts w:ascii="Arial" w:hAnsi="Arial" w:cs="Arial"/>
      <w:sz w:val="16"/>
    </w:rPr>
  </w:style>
  <w:style w:type="paragraph" w:styleId="TOC1">
    <w:name w:val="toc 1"/>
    <w:next w:val="Normal"/>
    <w:semiHidden/>
    <w:pPr>
      <w:tabs>
        <w:tab w:val="right" w:pos="8505"/>
      </w:tabs>
      <w:spacing w:before="165" w:after="100"/>
    </w:pPr>
    <w:rPr>
      <w:rFonts w:ascii="Arial" w:hAnsi="Arial" w:cs="Arial"/>
      <w:sz w:val="19"/>
    </w:rPr>
  </w:style>
  <w:style w:type="paragraph" w:styleId="Subtitle">
    <w:name w:val="Subtitle"/>
    <w:qFormat/>
    <w:rsid w:val="00B3571B"/>
    <w:pPr>
      <w:spacing w:line="280" w:lineRule="atLeast"/>
      <w:outlineLvl w:val="1"/>
    </w:pPr>
    <w:rPr>
      <w:rFonts w:ascii="Arial" w:hAnsi="Arial" w:cs="Arial"/>
      <w:bCs/>
      <w:kern w:val="28"/>
      <w:sz w:val="24"/>
      <w:szCs w:val="24"/>
    </w:rPr>
  </w:style>
  <w:style w:type="paragraph" w:customStyle="1" w:styleId="ChapterTitle">
    <w:name w:val="Chapter Title"/>
    <w:basedOn w:val="Subtitle"/>
    <w:qFormat/>
    <w:pPr>
      <w:pBdr>
        <w:bottom w:val="single" w:sz="4" w:space="5" w:color="auto"/>
      </w:pBdr>
    </w:pPr>
    <w:rPr>
      <w:sz w:val="20"/>
    </w:rPr>
  </w:style>
  <w:style w:type="paragraph" w:customStyle="1" w:styleId="Contents">
    <w:name w:val="Contents"/>
    <w:next w:val="Normal"/>
    <w:pPr>
      <w:spacing w:after="2520" w:line="580" w:lineRule="atLeast"/>
    </w:pPr>
    <w:rPr>
      <w:rFonts w:ascii="Garamond" w:hAnsi="Garamond" w:cs="Arial"/>
      <w:sz w:val="66"/>
    </w:rPr>
  </w:style>
  <w:style w:type="paragraph" w:customStyle="1" w:styleId="Copyright">
    <w:name w:val="Copyright"/>
    <w:semiHidden/>
    <w:pPr>
      <w:spacing w:line="220" w:lineRule="atLeast"/>
    </w:pPr>
    <w:rPr>
      <w:rFonts w:ascii="Garamond" w:hAnsi="Garamond" w:cs="Arial"/>
    </w:rPr>
  </w:style>
  <w:style w:type="paragraph" w:customStyle="1" w:styleId="ReferenceText">
    <w:name w:val="Reference Text"/>
    <w:rPr>
      <w:rFonts w:ascii="Arial" w:hAnsi="Arial" w:cs="Arial"/>
      <w:kern w:val="32"/>
      <w:sz w:val="18"/>
      <w:szCs w:val="24"/>
    </w:rPr>
  </w:style>
  <w:style w:type="paragraph" w:customStyle="1" w:styleId="ReferenceTitle">
    <w:name w:val="Reference Title"/>
    <w:next w:val="ReferenceText"/>
    <w:rPr>
      <w:rFonts w:ascii="Arial Black" w:hAnsi="Arial Black" w:cs="Arial"/>
      <w:kern w:val="32"/>
      <w:sz w:val="18"/>
      <w:szCs w:val="24"/>
    </w:rPr>
  </w:style>
  <w:style w:type="paragraph" w:customStyle="1" w:styleId="LandscapeHeader">
    <w:name w:val="Landscape Header"/>
    <w:basedOn w:val="Header"/>
    <w:semiHidden/>
    <w:pPr>
      <w:tabs>
        <w:tab w:val="clear" w:pos="8562"/>
        <w:tab w:val="right" w:pos="13438"/>
      </w:tabs>
    </w:pPr>
  </w:style>
  <w:style w:type="paragraph" w:customStyle="1" w:styleId="ParagraphBullet">
    <w:name w:val="Paragraph Bullet"/>
    <w:basedOn w:val="Normal"/>
    <w:qFormat/>
    <w:pPr>
      <w:numPr>
        <w:numId w:val="8"/>
      </w:numPr>
      <w:spacing w:after="284" w:line="280" w:lineRule="atLeast"/>
    </w:pPr>
  </w:style>
  <w:style w:type="paragraph" w:customStyle="1" w:styleId="ParagraphBullet2">
    <w:name w:val="Paragraph Bullet 2"/>
    <w:basedOn w:val="Normal"/>
    <w:qFormat/>
    <w:pPr>
      <w:numPr>
        <w:ilvl w:val="1"/>
        <w:numId w:val="8"/>
      </w:numPr>
      <w:spacing w:after="284" w:line="280" w:lineRule="atLeast"/>
    </w:pPr>
  </w:style>
  <w:style w:type="paragraph" w:customStyle="1" w:styleId="MarginNotesHeading">
    <w:name w:val="Margin Notes Heading"/>
    <w:basedOn w:val="MarginNotes"/>
    <w:qFormat/>
    <w:rPr>
      <w:b/>
    </w:rPr>
  </w:style>
  <w:style w:type="paragraph" w:styleId="Quote">
    <w:name w:val="Quote"/>
    <w:basedOn w:val="BodyText"/>
    <w:qFormat/>
    <w:rsid w:val="00B3571B"/>
    <w:pPr>
      <w:spacing w:line="340" w:lineRule="atLeast"/>
    </w:pPr>
    <w:rPr>
      <w:sz w:val="28"/>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customStyle="1" w:styleId="ContactDetails">
    <w:name w:val="Contact Details"/>
    <w:qFormat/>
    <w:rPr>
      <w:rFonts w:ascii="Arial" w:hAnsi="Arial" w:cs="Arial"/>
      <w:sz w:val="16"/>
    </w:rPr>
  </w:style>
  <w:style w:type="paragraph" w:customStyle="1" w:styleId="ContactDetailsTitle">
    <w:name w:val="Contact Details Title"/>
    <w:basedOn w:val="ContactDetails"/>
    <w:next w:val="ContactDetails"/>
    <w:qFormat/>
    <w:rPr>
      <w:b/>
    </w:rPr>
  </w:style>
  <w:style w:type="paragraph" w:customStyle="1" w:styleId="NumberedHeading1">
    <w:name w:val="Numbered Heading 1"/>
    <w:next w:val="BodyText"/>
    <w:qFormat/>
    <w:pPr>
      <w:numPr>
        <w:numId w:val="9"/>
      </w:numPr>
      <w:spacing w:line="260" w:lineRule="atLeast"/>
    </w:pPr>
    <w:rPr>
      <w:rFonts w:ascii="Arial Black" w:hAnsi="Arial Black" w:cs="Arial"/>
      <w:color w:val="4B217E"/>
      <w:sz w:val="19"/>
    </w:rPr>
  </w:style>
  <w:style w:type="paragraph" w:customStyle="1" w:styleId="NumberedHeading2">
    <w:name w:val="Numbered Heading 2"/>
    <w:next w:val="BodyText"/>
    <w:qFormat/>
    <w:pPr>
      <w:numPr>
        <w:ilvl w:val="1"/>
        <w:numId w:val="9"/>
      </w:numPr>
      <w:spacing w:line="260" w:lineRule="atLeast"/>
    </w:pPr>
    <w:rPr>
      <w:rFonts w:ascii="Arial Black" w:hAnsi="Arial Black" w:cs="Arial"/>
      <w:color w:val="4B217E"/>
      <w:sz w:val="19"/>
    </w:rPr>
  </w:style>
  <w:style w:type="table" w:customStyle="1" w:styleId="GTITableStyle1">
    <w:name w:val="GTI Table Style 1"/>
    <w:basedOn w:val="TableNormal"/>
    <w:uiPriority w:val="99"/>
    <w:rsid w:val="00520EF0"/>
    <w:tblPr>
      <w:tblBorders>
        <w:top w:val="single" w:sz="12" w:space="0" w:color="4F2D7F"/>
        <w:bottom w:val="single" w:sz="12" w:space="0" w:color="4F2D7F"/>
        <w:insideH w:val="single" w:sz="4" w:space="0" w:color="4F2D7F"/>
      </w:tblBorders>
    </w:tblPr>
    <w:tcPr>
      <w:shd w:val="clear" w:color="auto" w:fill="auto"/>
    </w:tcPr>
  </w:style>
  <w:style w:type="table" w:customStyle="1" w:styleId="GTITableStyle3">
    <w:name w:val="GTI Table Style 3"/>
    <w:basedOn w:val="TableNormal"/>
    <w:uiPriority w:val="99"/>
    <w:rsid w:val="008612FE"/>
    <w:tblPr>
      <w:tblBorders>
        <w:top w:val="single" w:sz="12" w:space="0" w:color="4F2D7F"/>
        <w:bottom w:val="single" w:sz="12" w:space="0" w:color="4F2D7F"/>
        <w:insideH w:val="single" w:sz="4" w:space="0" w:color="4F2D7F"/>
      </w:tblBorders>
    </w:tblPr>
    <w:tcPr>
      <w:shd w:val="clear" w:color="auto" w:fill="DACDED"/>
    </w:tcPr>
    <w:tblStylePr w:type="lastCol">
      <w:tblPr/>
      <w:tcPr>
        <w:shd w:val="clear" w:color="auto" w:fill="B59BDB"/>
      </w:tcPr>
    </w:tblStylePr>
  </w:style>
  <w:style w:type="table" w:styleId="TableGrid">
    <w:name w:val="Table Grid"/>
    <w:basedOn w:val="TableNormal"/>
    <w:rsid w:val="007534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CF293F"/>
    <w:rPr>
      <w:rFonts w:ascii="Garamond" w:hAnsi="Garamond" w:cs="Arial"/>
      <w:sz w:val="22"/>
      <w:lang w:val="en-US"/>
    </w:rPr>
  </w:style>
  <w:style w:type="table" w:styleId="MediumList2-Accent1">
    <w:name w:val="Medium List 2 Accent 1"/>
    <w:basedOn w:val="TableNormal"/>
    <w:uiPriority w:val="66"/>
    <w:rsid w:val="00CF293F"/>
    <w:rPr>
      <w:rFonts w:asciiTheme="majorHAnsi" w:eastAsiaTheme="majorEastAsia" w:hAnsiTheme="majorHAnsi" w:cstheme="majorBidi"/>
      <w:color w:val="000000" w:themeColor="text1"/>
      <w:sz w:val="22"/>
      <w:szCs w:val="22"/>
      <w:lang w:eastAsia="ja-JP"/>
    </w:rPr>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tblBorders>
    </w:tblPr>
    <w:tblStylePr w:type="firstRow">
      <w:rPr>
        <w:sz w:val="24"/>
        <w:szCs w:val="24"/>
      </w:rPr>
      <w:tblPr/>
      <w:tcPr>
        <w:tcBorders>
          <w:top w:val="nil"/>
          <w:left w:val="nil"/>
          <w:bottom w:val="single" w:sz="24" w:space="0" w:color="4F2D7F" w:themeColor="accent1"/>
          <w:right w:val="nil"/>
          <w:insideH w:val="nil"/>
          <w:insideV w:val="nil"/>
        </w:tcBorders>
        <w:shd w:val="clear" w:color="auto" w:fill="FFFFFF" w:themeFill="background1"/>
      </w:tcPr>
    </w:tblStylePr>
    <w:tblStylePr w:type="lastRow">
      <w:tblPr/>
      <w:tcPr>
        <w:tcBorders>
          <w:top w:val="single" w:sz="8" w:space="0" w:color="4F2D7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2D7F" w:themeColor="accent1"/>
          <w:insideH w:val="nil"/>
          <w:insideV w:val="nil"/>
        </w:tcBorders>
        <w:shd w:val="clear" w:color="auto" w:fill="FFFFFF" w:themeFill="background1"/>
      </w:tcPr>
    </w:tblStylePr>
    <w:tblStylePr w:type="lastCol">
      <w:tblPr/>
      <w:tcPr>
        <w:tcBorders>
          <w:top w:val="nil"/>
          <w:left w:val="single" w:sz="8" w:space="0" w:color="4F2D7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C1E9" w:themeFill="accent1" w:themeFillTint="3F"/>
      </w:tcPr>
    </w:tblStylePr>
    <w:tblStylePr w:type="band1Horz">
      <w:tblPr/>
      <w:tcPr>
        <w:tcBorders>
          <w:top w:val="nil"/>
          <w:bottom w:val="nil"/>
          <w:insideH w:val="nil"/>
          <w:insideV w:val="nil"/>
        </w:tcBorders>
        <w:shd w:val="clear" w:color="auto" w:fill="D1C1E9"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IntenseQuote">
    <w:name w:val="Intense Quote"/>
    <w:basedOn w:val="Normal"/>
    <w:next w:val="Normal"/>
    <w:link w:val="IntenseQuoteChar"/>
    <w:uiPriority w:val="30"/>
    <w:rsid w:val="004C13D3"/>
    <w:pPr>
      <w:pBdr>
        <w:bottom w:val="single" w:sz="4" w:space="4" w:color="4F2D7F" w:themeColor="accent1"/>
      </w:pBdr>
      <w:spacing w:before="200" w:after="280"/>
      <w:ind w:left="936" w:right="936"/>
    </w:pPr>
    <w:rPr>
      <w:b/>
      <w:bCs/>
      <w:i/>
      <w:iCs/>
      <w:color w:val="4F2D7F" w:themeColor="accent1"/>
    </w:rPr>
  </w:style>
  <w:style w:type="character" w:customStyle="1" w:styleId="IntenseQuoteChar">
    <w:name w:val="Intense Quote Char"/>
    <w:basedOn w:val="DefaultParagraphFont"/>
    <w:link w:val="IntenseQuote"/>
    <w:uiPriority w:val="30"/>
    <w:rsid w:val="004C13D3"/>
    <w:rPr>
      <w:rFonts w:ascii="Garamond" w:hAnsi="Garamond" w:cs="Arial"/>
      <w:b/>
      <w:bCs/>
      <w:i/>
      <w:iCs/>
      <w:color w:val="4F2D7F" w:themeColor="accent1"/>
      <w:sz w:val="22"/>
      <w:lang w:val="en-US"/>
    </w:rPr>
  </w:style>
  <w:style w:type="paragraph" w:styleId="BalloonText">
    <w:name w:val="Balloon Text"/>
    <w:basedOn w:val="Normal"/>
    <w:link w:val="BalloonTextChar"/>
    <w:rsid w:val="00DD5DC6"/>
    <w:rPr>
      <w:rFonts w:ascii="Tahoma" w:hAnsi="Tahoma" w:cs="Tahoma"/>
      <w:sz w:val="16"/>
      <w:szCs w:val="16"/>
    </w:rPr>
  </w:style>
  <w:style w:type="character" w:customStyle="1" w:styleId="BalloonTextChar">
    <w:name w:val="Balloon Text Char"/>
    <w:basedOn w:val="DefaultParagraphFont"/>
    <w:link w:val="BalloonText"/>
    <w:rsid w:val="00DD5DC6"/>
    <w:rPr>
      <w:rFonts w:ascii="Tahoma" w:hAnsi="Tahoma" w:cs="Tahoma"/>
      <w:sz w:val="16"/>
      <w:szCs w:val="16"/>
      <w:lang w:val="en-US"/>
    </w:rPr>
  </w:style>
  <w:style w:type="paragraph" w:styleId="Bibliography">
    <w:name w:val="Bibliography"/>
    <w:basedOn w:val="Normal"/>
    <w:next w:val="Normal"/>
    <w:uiPriority w:val="37"/>
    <w:semiHidden/>
    <w:unhideWhenUsed/>
    <w:rsid w:val="00DD5DC6"/>
  </w:style>
  <w:style w:type="paragraph" w:styleId="BlockText">
    <w:name w:val="Block Text"/>
    <w:basedOn w:val="Normal"/>
    <w:rsid w:val="00DD5DC6"/>
    <w:pPr>
      <w:pBdr>
        <w:top w:val="single" w:sz="2" w:space="10" w:color="4F2D7F" w:themeColor="accent1" w:shadow="1"/>
        <w:left w:val="single" w:sz="2" w:space="10" w:color="4F2D7F" w:themeColor="accent1" w:shadow="1"/>
        <w:bottom w:val="single" w:sz="2" w:space="10" w:color="4F2D7F" w:themeColor="accent1" w:shadow="1"/>
        <w:right w:val="single" w:sz="2" w:space="10" w:color="4F2D7F" w:themeColor="accent1" w:shadow="1"/>
      </w:pBdr>
      <w:ind w:left="1152" w:right="1152"/>
    </w:pPr>
    <w:rPr>
      <w:rFonts w:asciiTheme="minorHAnsi" w:eastAsiaTheme="minorEastAsia" w:hAnsiTheme="minorHAnsi" w:cstheme="minorBidi"/>
      <w:i/>
      <w:iCs/>
      <w:color w:val="4F2D7F" w:themeColor="accent1"/>
    </w:rPr>
  </w:style>
  <w:style w:type="paragraph" w:styleId="BodyText2">
    <w:name w:val="Body Text 2"/>
    <w:basedOn w:val="Normal"/>
    <w:link w:val="BodyText2Char"/>
    <w:rsid w:val="00DD5DC6"/>
    <w:pPr>
      <w:spacing w:after="120" w:line="480" w:lineRule="auto"/>
    </w:pPr>
  </w:style>
  <w:style w:type="character" w:customStyle="1" w:styleId="BodyText2Char">
    <w:name w:val="Body Text 2 Char"/>
    <w:basedOn w:val="DefaultParagraphFont"/>
    <w:link w:val="BodyText2"/>
    <w:rsid w:val="00DD5DC6"/>
    <w:rPr>
      <w:rFonts w:ascii="Garamond" w:hAnsi="Garamond" w:cs="Arial"/>
      <w:sz w:val="22"/>
      <w:lang w:val="en-US"/>
    </w:rPr>
  </w:style>
  <w:style w:type="paragraph" w:styleId="BodyText3">
    <w:name w:val="Body Text 3"/>
    <w:basedOn w:val="Normal"/>
    <w:link w:val="BodyText3Char"/>
    <w:rsid w:val="00DD5DC6"/>
    <w:pPr>
      <w:spacing w:after="120"/>
    </w:pPr>
    <w:rPr>
      <w:sz w:val="16"/>
      <w:szCs w:val="16"/>
    </w:rPr>
  </w:style>
  <w:style w:type="character" w:customStyle="1" w:styleId="BodyText3Char">
    <w:name w:val="Body Text 3 Char"/>
    <w:basedOn w:val="DefaultParagraphFont"/>
    <w:link w:val="BodyText3"/>
    <w:rsid w:val="00DD5DC6"/>
    <w:rPr>
      <w:rFonts w:ascii="Garamond" w:hAnsi="Garamond" w:cs="Arial"/>
      <w:sz w:val="16"/>
      <w:szCs w:val="16"/>
      <w:lang w:val="en-US"/>
    </w:rPr>
  </w:style>
  <w:style w:type="paragraph" w:styleId="BodyTextFirstIndent">
    <w:name w:val="Body Text First Indent"/>
    <w:basedOn w:val="BodyText"/>
    <w:link w:val="BodyTextFirstIndentChar"/>
    <w:rsid w:val="00DD5DC6"/>
    <w:pPr>
      <w:spacing w:after="0" w:line="240" w:lineRule="auto"/>
      <w:ind w:firstLine="360"/>
    </w:pPr>
  </w:style>
  <w:style w:type="character" w:customStyle="1" w:styleId="BodyTextFirstIndentChar">
    <w:name w:val="Body Text First Indent Char"/>
    <w:basedOn w:val="BodyTextChar"/>
    <w:link w:val="BodyTextFirstIndent"/>
    <w:rsid w:val="00DD5DC6"/>
    <w:rPr>
      <w:rFonts w:ascii="Garamond" w:hAnsi="Garamond" w:cs="Arial"/>
      <w:sz w:val="22"/>
      <w:lang w:val="en-US"/>
    </w:rPr>
  </w:style>
  <w:style w:type="paragraph" w:styleId="BodyTextIndent">
    <w:name w:val="Body Text Indent"/>
    <w:basedOn w:val="Normal"/>
    <w:link w:val="BodyTextIndentChar"/>
    <w:rsid w:val="00DD5DC6"/>
    <w:pPr>
      <w:spacing w:after="120"/>
      <w:ind w:left="360"/>
    </w:pPr>
  </w:style>
  <w:style w:type="character" w:customStyle="1" w:styleId="BodyTextIndentChar">
    <w:name w:val="Body Text Indent Char"/>
    <w:basedOn w:val="DefaultParagraphFont"/>
    <w:link w:val="BodyTextIndent"/>
    <w:rsid w:val="00DD5DC6"/>
    <w:rPr>
      <w:rFonts w:ascii="Garamond" w:hAnsi="Garamond" w:cs="Arial"/>
      <w:sz w:val="22"/>
      <w:lang w:val="en-US"/>
    </w:rPr>
  </w:style>
  <w:style w:type="paragraph" w:styleId="BodyTextFirstIndent2">
    <w:name w:val="Body Text First Indent 2"/>
    <w:basedOn w:val="BodyTextIndent"/>
    <w:link w:val="BodyTextFirstIndent2Char"/>
    <w:rsid w:val="00DD5DC6"/>
    <w:pPr>
      <w:spacing w:after="0"/>
      <w:ind w:firstLine="360"/>
    </w:pPr>
  </w:style>
  <w:style w:type="character" w:customStyle="1" w:styleId="BodyTextFirstIndent2Char">
    <w:name w:val="Body Text First Indent 2 Char"/>
    <w:basedOn w:val="BodyTextIndentChar"/>
    <w:link w:val="BodyTextFirstIndent2"/>
    <w:rsid w:val="00DD5DC6"/>
    <w:rPr>
      <w:rFonts w:ascii="Garamond" w:hAnsi="Garamond" w:cs="Arial"/>
      <w:sz w:val="22"/>
      <w:lang w:val="en-US"/>
    </w:rPr>
  </w:style>
  <w:style w:type="paragraph" w:styleId="BodyTextIndent2">
    <w:name w:val="Body Text Indent 2"/>
    <w:basedOn w:val="Normal"/>
    <w:link w:val="BodyTextIndent2Char"/>
    <w:rsid w:val="00DD5DC6"/>
    <w:pPr>
      <w:spacing w:after="120" w:line="480" w:lineRule="auto"/>
      <w:ind w:left="360"/>
    </w:pPr>
  </w:style>
  <w:style w:type="character" w:customStyle="1" w:styleId="BodyTextIndent2Char">
    <w:name w:val="Body Text Indent 2 Char"/>
    <w:basedOn w:val="DefaultParagraphFont"/>
    <w:link w:val="BodyTextIndent2"/>
    <w:rsid w:val="00DD5DC6"/>
    <w:rPr>
      <w:rFonts w:ascii="Garamond" w:hAnsi="Garamond" w:cs="Arial"/>
      <w:sz w:val="22"/>
      <w:lang w:val="en-US"/>
    </w:rPr>
  </w:style>
  <w:style w:type="paragraph" w:styleId="BodyTextIndent3">
    <w:name w:val="Body Text Indent 3"/>
    <w:basedOn w:val="Normal"/>
    <w:link w:val="BodyTextIndent3Char"/>
    <w:rsid w:val="00DD5DC6"/>
    <w:pPr>
      <w:spacing w:after="120"/>
      <w:ind w:left="360"/>
    </w:pPr>
    <w:rPr>
      <w:sz w:val="16"/>
      <w:szCs w:val="16"/>
    </w:rPr>
  </w:style>
  <w:style w:type="character" w:customStyle="1" w:styleId="BodyTextIndent3Char">
    <w:name w:val="Body Text Indent 3 Char"/>
    <w:basedOn w:val="DefaultParagraphFont"/>
    <w:link w:val="BodyTextIndent3"/>
    <w:rsid w:val="00DD5DC6"/>
    <w:rPr>
      <w:rFonts w:ascii="Garamond" w:hAnsi="Garamond" w:cs="Arial"/>
      <w:sz w:val="16"/>
      <w:szCs w:val="16"/>
      <w:lang w:val="en-US"/>
    </w:rPr>
  </w:style>
  <w:style w:type="character" w:styleId="BookTitle">
    <w:name w:val="Book Title"/>
    <w:basedOn w:val="DefaultParagraphFont"/>
    <w:uiPriority w:val="33"/>
    <w:rsid w:val="00DD5DC6"/>
    <w:rPr>
      <w:b/>
      <w:bCs/>
      <w:smallCaps/>
      <w:spacing w:val="5"/>
      <w:lang w:val="en-US"/>
    </w:rPr>
  </w:style>
  <w:style w:type="paragraph" w:styleId="Caption">
    <w:name w:val="caption"/>
    <w:basedOn w:val="Normal"/>
    <w:next w:val="Normal"/>
    <w:semiHidden/>
    <w:unhideWhenUsed/>
    <w:qFormat/>
    <w:rsid w:val="00DD5DC6"/>
    <w:pPr>
      <w:spacing w:after="200"/>
    </w:pPr>
    <w:rPr>
      <w:b/>
      <w:bCs/>
      <w:color w:val="4F2D7F" w:themeColor="accent1"/>
      <w:sz w:val="18"/>
      <w:szCs w:val="18"/>
    </w:rPr>
  </w:style>
  <w:style w:type="paragraph" w:styleId="Closing">
    <w:name w:val="Closing"/>
    <w:basedOn w:val="Normal"/>
    <w:link w:val="ClosingChar"/>
    <w:rsid w:val="00DD5DC6"/>
    <w:pPr>
      <w:ind w:left="4320"/>
    </w:pPr>
  </w:style>
  <w:style w:type="character" w:customStyle="1" w:styleId="ClosingChar">
    <w:name w:val="Closing Char"/>
    <w:basedOn w:val="DefaultParagraphFont"/>
    <w:link w:val="Closing"/>
    <w:rsid w:val="00DD5DC6"/>
    <w:rPr>
      <w:rFonts w:ascii="Garamond" w:hAnsi="Garamond" w:cs="Arial"/>
      <w:sz w:val="22"/>
      <w:lang w:val="en-US"/>
    </w:rPr>
  </w:style>
  <w:style w:type="table" w:styleId="ColorfulGrid">
    <w:name w:val="Colorful Grid"/>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DACDED" w:themeFill="accent1" w:themeFillTint="33"/>
    </w:tcPr>
    <w:tblStylePr w:type="firstRow">
      <w:rPr>
        <w:b/>
        <w:bCs/>
      </w:rPr>
      <w:tblPr/>
      <w:tcPr>
        <w:shd w:val="clear" w:color="auto" w:fill="B59BDB" w:themeFill="accent1" w:themeFillTint="66"/>
      </w:tcPr>
    </w:tblStylePr>
    <w:tblStylePr w:type="lastRow">
      <w:rPr>
        <w:b/>
        <w:bCs/>
        <w:color w:val="000000" w:themeColor="text1"/>
      </w:rPr>
      <w:tblPr/>
      <w:tcPr>
        <w:shd w:val="clear" w:color="auto" w:fill="B59BDB" w:themeFill="accent1" w:themeFillTint="66"/>
      </w:tcPr>
    </w:tblStylePr>
    <w:tblStylePr w:type="firstCol">
      <w:rPr>
        <w:color w:val="FFFFFF" w:themeColor="background1"/>
      </w:rPr>
      <w:tblPr/>
      <w:tcPr>
        <w:shd w:val="clear" w:color="auto" w:fill="3A215E" w:themeFill="accent1" w:themeFillShade="BF"/>
      </w:tcPr>
    </w:tblStylePr>
    <w:tblStylePr w:type="lastCol">
      <w:rPr>
        <w:color w:val="FFFFFF" w:themeColor="background1"/>
      </w:rPr>
      <w:tblPr/>
      <w:tcPr>
        <w:shd w:val="clear" w:color="auto" w:fill="3A215E" w:themeFill="accent1" w:themeFillShade="BF"/>
      </w:tcPr>
    </w:tblStylePr>
    <w:tblStylePr w:type="band1Vert">
      <w:tblPr/>
      <w:tcPr>
        <w:shd w:val="clear" w:color="auto" w:fill="A382D3" w:themeFill="accent1" w:themeFillTint="7F"/>
      </w:tcPr>
    </w:tblStylePr>
    <w:tblStylePr w:type="band1Horz">
      <w:tblPr/>
      <w:tcPr>
        <w:shd w:val="clear" w:color="auto" w:fill="A382D3" w:themeFill="accent1" w:themeFillTint="7F"/>
      </w:tcPr>
    </w:tblStylePr>
  </w:style>
  <w:style w:type="table" w:styleId="ColorfulGrid-Accent2">
    <w:name w:val="Colorful Grid Accent 2"/>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FC0D6" w:themeFill="accent2" w:themeFillTint="33"/>
    </w:tcPr>
    <w:tblStylePr w:type="firstRow">
      <w:rPr>
        <w:b/>
        <w:bCs/>
      </w:rPr>
      <w:tblPr/>
      <w:tcPr>
        <w:shd w:val="clear" w:color="auto" w:fill="FF81AD" w:themeFill="accent2" w:themeFillTint="66"/>
      </w:tcPr>
    </w:tblStylePr>
    <w:tblStylePr w:type="lastRow">
      <w:rPr>
        <w:b/>
        <w:bCs/>
        <w:color w:val="000000" w:themeColor="text1"/>
      </w:rPr>
      <w:tblPr/>
      <w:tcPr>
        <w:shd w:val="clear" w:color="auto" w:fill="FF81AD" w:themeFill="accent2" w:themeFillTint="66"/>
      </w:tcPr>
    </w:tblStylePr>
    <w:tblStylePr w:type="firstCol">
      <w:rPr>
        <w:color w:val="FFFFFF" w:themeColor="background1"/>
      </w:rPr>
      <w:tblPr/>
      <w:tcPr>
        <w:shd w:val="clear" w:color="auto" w:fill="920033" w:themeFill="accent2" w:themeFillShade="BF"/>
      </w:tcPr>
    </w:tblStylePr>
    <w:tblStylePr w:type="lastCol">
      <w:rPr>
        <w:color w:val="FFFFFF" w:themeColor="background1"/>
      </w:rPr>
      <w:tblPr/>
      <w:tcPr>
        <w:shd w:val="clear" w:color="auto" w:fill="920033" w:themeFill="accent2" w:themeFillShade="BF"/>
      </w:tcPr>
    </w:tblStylePr>
    <w:tblStylePr w:type="band1Vert">
      <w:tblPr/>
      <w:tcPr>
        <w:shd w:val="clear" w:color="auto" w:fill="FF6299" w:themeFill="accent2" w:themeFillTint="7F"/>
      </w:tcPr>
    </w:tblStylePr>
    <w:tblStylePr w:type="band1Horz">
      <w:tblPr/>
      <w:tcPr>
        <w:shd w:val="clear" w:color="auto" w:fill="FF6299" w:themeFill="accent2" w:themeFillTint="7F"/>
      </w:tcPr>
    </w:tblStylePr>
  </w:style>
  <w:style w:type="table" w:styleId="ColorfulGrid-Accent3">
    <w:name w:val="Colorful Grid Accent 3"/>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DBFF6" w:themeFill="accent3" w:themeFillTint="33"/>
    </w:tcPr>
    <w:tblStylePr w:type="firstRow">
      <w:rPr>
        <w:b/>
        <w:bCs/>
      </w:rPr>
      <w:tblPr/>
      <w:tcPr>
        <w:shd w:val="clear" w:color="auto" w:fill="FB7FEC" w:themeFill="accent3" w:themeFillTint="66"/>
      </w:tcPr>
    </w:tblStylePr>
    <w:tblStylePr w:type="lastRow">
      <w:rPr>
        <w:b/>
        <w:bCs/>
        <w:color w:val="000000" w:themeColor="text1"/>
      </w:rPr>
      <w:tblPr/>
      <w:tcPr>
        <w:shd w:val="clear" w:color="auto" w:fill="FB7FEC" w:themeFill="accent3" w:themeFillTint="66"/>
      </w:tcPr>
    </w:tblStylePr>
    <w:tblStylePr w:type="firstCol">
      <w:rPr>
        <w:color w:val="FFFFFF" w:themeColor="background1"/>
      </w:rPr>
      <w:tblPr/>
      <w:tcPr>
        <w:shd w:val="clear" w:color="auto" w:fill="840375" w:themeFill="accent3" w:themeFillShade="BF"/>
      </w:tcPr>
    </w:tblStylePr>
    <w:tblStylePr w:type="lastCol">
      <w:rPr>
        <w:color w:val="FFFFFF" w:themeColor="background1"/>
      </w:rPr>
      <w:tblPr/>
      <w:tcPr>
        <w:shd w:val="clear" w:color="auto" w:fill="840375" w:themeFill="accent3" w:themeFillShade="BF"/>
      </w:tcPr>
    </w:tblStylePr>
    <w:tblStylePr w:type="band1Vert">
      <w:tblPr/>
      <w:tcPr>
        <w:shd w:val="clear" w:color="auto" w:fill="FA5FE8" w:themeFill="accent3" w:themeFillTint="7F"/>
      </w:tcPr>
    </w:tblStylePr>
    <w:tblStylePr w:type="band1Horz">
      <w:tblPr/>
      <w:tcPr>
        <w:shd w:val="clear" w:color="auto" w:fill="FA5FE8" w:themeFill="accent3" w:themeFillTint="7F"/>
      </w:tcPr>
    </w:tblStylePr>
  </w:style>
  <w:style w:type="table" w:styleId="ColorfulGrid-Accent4">
    <w:name w:val="Colorful Grid Accent 4"/>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AEFFED" w:themeFill="accent4" w:themeFillTint="33"/>
    </w:tcPr>
    <w:tblStylePr w:type="firstRow">
      <w:rPr>
        <w:b/>
        <w:bCs/>
      </w:rPr>
      <w:tblPr/>
      <w:tcPr>
        <w:shd w:val="clear" w:color="auto" w:fill="5EFFDB" w:themeFill="accent4" w:themeFillTint="66"/>
      </w:tcPr>
    </w:tblStylePr>
    <w:tblStylePr w:type="lastRow">
      <w:rPr>
        <w:b/>
        <w:bCs/>
        <w:color w:val="000000" w:themeColor="text1"/>
      </w:rPr>
      <w:tblPr/>
      <w:tcPr>
        <w:shd w:val="clear" w:color="auto" w:fill="5EFFDB" w:themeFill="accent4" w:themeFillTint="66"/>
      </w:tcPr>
    </w:tblStylePr>
    <w:tblStylePr w:type="firstCol">
      <w:rPr>
        <w:color w:val="FFFFFF" w:themeColor="background1"/>
      </w:rPr>
      <w:tblPr/>
      <w:tcPr>
        <w:shd w:val="clear" w:color="auto" w:fill="00513F" w:themeFill="accent4" w:themeFillShade="BF"/>
      </w:tcPr>
    </w:tblStylePr>
    <w:tblStylePr w:type="lastCol">
      <w:rPr>
        <w:color w:val="FFFFFF" w:themeColor="background1"/>
      </w:rPr>
      <w:tblPr/>
      <w:tcPr>
        <w:shd w:val="clear" w:color="auto" w:fill="00513F" w:themeFill="accent4" w:themeFillShade="BF"/>
      </w:tcPr>
    </w:tblStylePr>
    <w:tblStylePr w:type="band1Vert">
      <w:tblPr/>
      <w:tcPr>
        <w:shd w:val="clear" w:color="auto" w:fill="37FFD2" w:themeFill="accent4" w:themeFillTint="7F"/>
      </w:tcPr>
    </w:tblStylePr>
    <w:tblStylePr w:type="band1Horz">
      <w:tblPr/>
      <w:tcPr>
        <w:shd w:val="clear" w:color="auto" w:fill="37FFD2" w:themeFill="accent4" w:themeFillTint="7F"/>
      </w:tcPr>
    </w:tblStylePr>
  </w:style>
  <w:style w:type="table" w:styleId="ColorfulGrid-Accent5">
    <w:name w:val="Colorful Grid Accent 5"/>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E8FFBD" w:themeFill="accent5" w:themeFillTint="33"/>
    </w:tcPr>
    <w:tblStylePr w:type="firstRow">
      <w:rPr>
        <w:b/>
        <w:bCs/>
      </w:rPr>
      <w:tblPr/>
      <w:tcPr>
        <w:shd w:val="clear" w:color="auto" w:fill="D2FF7C" w:themeFill="accent5" w:themeFillTint="66"/>
      </w:tcPr>
    </w:tblStylePr>
    <w:tblStylePr w:type="lastRow">
      <w:rPr>
        <w:b/>
        <w:bCs/>
        <w:color w:val="000000" w:themeColor="text1"/>
      </w:rPr>
      <w:tblPr/>
      <w:tcPr>
        <w:shd w:val="clear" w:color="auto" w:fill="D2FF7C" w:themeFill="accent5" w:themeFillTint="66"/>
      </w:tcPr>
    </w:tblStylePr>
    <w:tblStylePr w:type="firstCol">
      <w:rPr>
        <w:color w:val="FFFFFF" w:themeColor="background1"/>
      </w:rPr>
      <w:tblPr/>
      <w:tcPr>
        <w:shd w:val="clear" w:color="auto" w:fill="5B8900" w:themeFill="accent5" w:themeFillShade="BF"/>
      </w:tcPr>
    </w:tblStylePr>
    <w:tblStylePr w:type="lastCol">
      <w:rPr>
        <w:color w:val="FFFFFF" w:themeColor="background1"/>
      </w:rPr>
      <w:tblPr/>
      <w:tcPr>
        <w:shd w:val="clear" w:color="auto" w:fill="5B8900" w:themeFill="accent5" w:themeFillShade="BF"/>
      </w:tcPr>
    </w:tblStylePr>
    <w:tblStylePr w:type="band1Vert">
      <w:tblPr/>
      <w:tcPr>
        <w:shd w:val="clear" w:color="auto" w:fill="C8FF5C" w:themeFill="accent5" w:themeFillTint="7F"/>
      </w:tcPr>
    </w:tblStylePr>
    <w:tblStylePr w:type="band1Horz">
      <w:tblPr/>
      <w:tcPr>
        <w:shd w:val="clear" w:color="auto" w:fill="C8FF5C" w:themeFill="accent5" w:themeFillTint="7F"/>
      </w:tcPr>
    </w:tblStylePr>
  </w:style>
  <w:style w:type="table" w:styleId="ColorfulGrid-Accent6">
    <w:name w:val="Colorful Grid Accent 6"/>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FE4CC" w:themeFill="accent6" w:themeFillTint="33"/>
    </w:tcPr>
    <w:tblStylePr w:type="firstRow">
      <w:rPr>
        <w:b/>
        <w:bCs/>
      </w:rPr>
      <w:tblPr/>
      <w:tcPr>
        <w:shd w:val="clear" w:color="auto" w:fill="FFC999" w:themeFill="accent6" w:themeFillTint="66"/>
      </w:tcPr>
    </w:tblStylePr>
    <w:tblStylePr w:type="lastRow">
      <w:rPr>
        <w:b/>
        <w:bCs/>
        <w:color w:val="000000" w:themeColor="text1"/>
      </w:rPr>
      <w:tblPr/>
      <w:tcPr>
        <w:shd w:val="clear" w:color="auto" w:fill="FFC999" w:themeFill="accent6" w:themeFillTint="66"/>
      </w:tcPr>
    </w:tblStylePr>
    <w:tblStylePr w:type="firstCol">
      <w:rPr>
        <w:color w:val="FFFFFF" w:themeColor="background1"/>
      </w:rPr>
      <w:tblPr/>
      <w:tcPr>
        <w:shd w:val="clear" w:color="auto" w:fill="BF5A00" w:themeFill="accent6" w:themeFillShade="BF"/>
      </w:tcPr>
    </w:tblStylePr>
    <w:tblStylePr w:type="lastCol">
      <w:rPr>
        <w:color w:val="FFFFFF" w:themeColor="background1"/>
      </w:rPr>
      <w:tblPr/>
      <w:tcPr>
        <w:shd w:val="clear" w:color="auto" w:fill="BF5A00" w:themeFill="accent6" w:themeFillShade="BF"/>
      </w:tcPr>
    </w:tblStylePr>
    <w:tblStylePr w:type="band1Vert">
      <w:tblPr/>
      <w:tcPr>
        <w:shd w:val="clear" w:color="auto" w:fill="FFBC80" w:themeFill="accent6" w:themeFillTint="7F"/>
      </w:tcPr>
    </w:tblStylePr>
    <w:tblStylePr w:type="band1Horz">
      <w:tblPr/>
      <w:tcPr>
        <w:shd w:val="clear" w:color="auto" w:fill="FFBC80" w:themeFill="accent6" w:themeFillTint="7F"/>
      </w:tcPr>
    </w:tblStylePr>
  </w:style>
  <w:style w:type="table" w:styleId="ColorfulList">
    <w:name w:val="Colorful List"/>
    <w:basedOn w:val="TableNormal"/>
    <w:uiPriority w:val="72"/>
    <w:rsid w:val="00DD5DC6"/>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DD5DC6"/>
    <w:rPr>
      <w:color w:val="000000" w:themeColor="text1"/>
    </w:rPr>
    <w:tblPr>
      <w:tblStyleRowBandSize w:val="1"/>
      <w:tblStyleColBandSize w:val="1"/>
    </w:tblPr>
    <w:tcPr>
      <w:shd w:val="clear" w:color="auto" w:fill="ECE6F6" w:themeFill="accent1"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C1E9" w:themeFill="accent1" w:themeFillTint="3F"/>
      </w:tcPr>
    </w:tblStylePr>
    <w:tblStylePr w:type="band1Horz">
      <w:tblPr/>
      <w:tcPr>
        <w:shd w:val="clear" w:color="auto" w:fill="DACDED" w:themeFill="accent1" w:themeFillTint="33"/>
      </w:tcPr>
    </w:tblStylePr>
  </w:style>
  <w:style w:type="table" w:styleId="ColorfulList-Accent2">
    <w:name w:val="Colorful List Accent 2"/>
    <w:basedOn w:val="TableNormal"/>
    <w:uiPriority w:val="72"/>
    <w:rsid w:val="00DD5DC6"/>
    <w:rPr>
      <w:color w:val="000000" w:themeColor="text1"/>
    </w:rPr>
    <w:tblPr>
      <w:tblStyleRowBandSize w:val="1"/>
      <w:tblStyleColBandSize w:val="1"/>
    </w:tblPr>
    <w:tcPr>
      <w:shd w:val="clear" w:color="auto" w:fill="FFE0EA" w:themeFill="accent2"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1CC" w:themeFill="accent2" w:themeFillTint="3F"/>
      </w:tcPr>
    </w:tblStylePr>
    <w:tblStylePr w:type="band1Horz">
      <w:tblPr/>
      <w:tcPr>
        <w:shd w:val="clear" w:color="auto" w:fill="FFC0D6" w:themeFill="accent2" w:themeFillTint="33"/>
      </w:tcPr>
    </w:tblStylePr>
  </w:style>
  <w:style w:type="table" w:styleId="ColorfulList-Accent3">
    <w:name w:val="Colorful List Accent 3"/>
    <w:basedOn w:val="TableNormal"/>
    <w:uiPriority w:val="72"/>
    <w:rsid w:val="00DD5DC6"/>
    <w:rPr>
      <w:color w:val="000000" w:themeColor="text1"/>
    </w:rPr>
    <w:tblPr>
      <w:tblStyleRowBandSize w:val="1"/>
      <w:tblStyleColBandSize w:val="1"/>
    </w:tblPr>
    <w:tcPr>
      <w:shd w:val="clear" w:color="auto" w:fill="FEDFFA" w:themeFill="accent3" w:themeFillTint="19"/>
    </w:tcPr>
    <w:tblStylePr w:type="firstRow">
      <w:rPr>
        <w:b/>
        <w:bCs/>
        <w:color w:val="FFFFFF" w:themeColor="background1"/>
      </w:rPr>
      <w:tblPr/>
      <w:tcPr>
        <w:tcBorders>
          <w:bottom w:val="single" w:sz="12" w:space="0" w:color="FFFFFF" w:themeColor="background1"/>
        </w:tcBorders>
        <w:shd w:val="clear" w:color="auto" w:fill="005743" w:themeFill="accent4" w:themeFillShade="CC"/>
      </w:tcPr>
    </w:tblStylePr>
    <w:tblStylePr w:type="lastRow">
      <w:rPr>
        <w:b/>
        <w:bCs/>
        <w:color w:val="005743"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AFF3" w:themeFill="accent3" w:themeFillTint="3F"/>
      </w:tcPr>
    </w:tblStylePr>
    <w:tblStylePr w:type="band1Horz">
      <w:tblPr/>
      <w:tcPr>
        <w:shd w:val="clear" w:color="auto" w:fill="FDBFF6" w:themeFill="accent3" w:themeFillTint="33"/>
      </w:tcPr>
    </w:tblStylePr>
  </w:style>
  <w:style w:type="table" w:styleId="ColorfulList-Accent4">
    <w:name w:val="Colorful List Accent 4"/>
    <w:basedOn w:val="TableNormal"/>
    <w:uiPriority w:val="72"/>
    <w:rsid w:val="00DD5DC6"/>
    <w:rPr>
      <w:color w:val="000000" w:themeColor="text1"/>
    </w:rPr>
    <w:tblPr>
      <w:tblStyleRowBandSize w:val="1"/>
      <w:tblStyleColBandSize w:val="1"/>
    </w:tblPr>
    <w:tcPr>
      <w:shd w:val="clear" w:color="auto" w:fill="D7FFF6" w:themeFill="accent4" w:themeFillTint="19"/>
    </w:tcPr>
    <w:tblStylePr w:type="firstRow">
      <w:rPr>
        <w:b/>
        <w:bCs/>
        <w:color w:val="FFFFFF" w:themeColor="background1"/>
      </w:rPr>
      <w:tblPr/>
      <w:tcPr>
        <w:tcBorders>
          <w:bottom w:val="single" w:sz="12" w:space="0" w:color="FFFFFF" w:themeColor="background1"/>
        </w:tcBorders>
        <w:shd w:val="clear" w:color="auto" w:fill="8D047D" w:themeFill="accent3" w:themeFillShade="CC"/>
      </w:tcPr>
    </w:tblStylePr>
    <w:tblStylePr w:type="lastRow">
      <w:rPr>
        <w:b/>
        <w:bCs/>
        <w:color w:val="8D047D"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BFFE8" w:themeFill="accent4" w:themeFillTint="3F"/>
      </w:tcPr>
    </w:tblStylePr>
    <w:tblStylePr w:type="band1Horz">
      <w:tblPr/>
      <w:tcPr>
        <w:shd w:val="clear" w:color="auto" w:fill="AEFFED" w:themeFill="accent4" w:themeFillTint="33"/>
      </w:tcPr>
    </w:tblStylePr>
  </w:style>
  <w:style w:type="table" w:styleId="ColorfulList-Accent5">
    <w:name w:val="Colorful List Accent 5"/>
    <w:basedOn w:val="TableNormal"/>
    <w:uiPriority w:val="72"/>
    <w:rsid w:val="00DD5DC6"/>
    <w:rPr>
      <w:color w:val="000000" w:themeColor="text1"/>
    </w:rPr>
    <w:tblPr>
      <w:tblStyleRowBandSize w:val="1"/>
      <w:tblStyleColBandSize w:val="1"/>
    </w:tblPr>
    <w:tcPr>
      <w:shd w:val="clear" w:color="auto" w:fill="F4FFDF" w:themeFill="accent5" w:themeFillTint="19"/>
    </w:tcPr>
    <w:tblStylePr w:type="firstRow">
      <w:rPr>
        <w:b/>
        <w:bCs/>
        <w:color w:val="FFFFFF" w:themeColor="background1"/>
      </w:rPr>
      <w:tblPr/>
      <w:tcPr>
        <w:tcBorders>
          <w:bottom w:val="single" w:sz="12" w:space="0" w:color="FFFFFF" w:themeColor="background1"/>
        </w:tcBorders>
        <w:shd w:val="clear" w:color="auto" w:fill="CC6000" w:themeFill="accent6" w:themeFillShade="CC"/>
      </w:tcPr>
    </w:tblStylePr>
    <w:tblStylePr w:type="lastRow">
      <w:rPr>
        <w:b/>
        <w:bCs/>
        <w:color w:val="CC60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FAE" w:themeFill="accent5" w:themeFillTint="3F"/>
      </w:tcPr>
    </w:tblStylePr>
    <w:tblStylePr w:type="band1Horz">
      <w:tblPr/>
      <w:tcPr>
        <w:shd w:val="clear" w:color="auto" w:fill="E8FFBD" w:themeFill="accent5" w:themeFillTint="33"/>
      </w:tcPr>
    </w:tblStylePr>
  </w:style>
  <w:style w:type="table" w:styleId="ColorfulList-Accent6">
    <w:name w:val="Colorful List Accent 6"/>
    <w:basedOn w:val="TableNormal"/>
    <w:uiPriority w:val="72"/>
    <w:rsid w:val="00DD5DC6"/>
    <w:rPr>
      <w:color w:val="000000" w:themeColor="text1"/>
    </w:rPr>
    <w:tblPr>
      <w:tblStyleRowBandSize w:val="1"/>
      <w:tblStyleColBandSize w:val="1"/>
    </w:tblPr>
    <w:tcPr>
      <w:shd w:val="clear" w:color="auto" w:fill="FFF1E6" w:themeFill="accent6" w:themeFillTint="19"/>
    </w:tcPr>
    <w:tblStylePr w:type="firstRow">
      <w:rPr>
        <w:b/>
        <w:bCs/>
        <w:color w:val="FFFFFF" w:themeColor="background1"/>
      </w:rPr>
      <w:tblPr/>
      <w:tcPr>
        <w:tcBorders>
          <w:bottom w:val="single" w:sz="12" w:space="0" w:color="FFFFFF" w:themeColor="background1"/>
        </w:tcBorders>
        <w:shd w:val="clear" w:color="auto" w:fill="619300" w:themeFill="accent5" w:themeFillShade="CC"/>
      </w:tcPr>
    </w:tblStylePr>
    <w:tblStylePr w:type="lastRow">
      <w:rPr>
        <w:b/>
        <w:bCs/>
        <w:color w:val="6193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DC0" w:themeFill="accent6" w:themeFillTint="3F"/>
      </w:tcPr>
    </w:tblStylePr>
    <w:tblStylePr w:type="band1Horz">
      <w:tblPr/>
      <w:tcPr>
        <w:shd w:val="clear" w:color="auto" w:fill="FFE4CC" w:themeFill="accent6" w:themeFillTint="33"/>
      </w:tcPr>
    </w:tblStylePr>
  </w:style>
  <w:style w:type="table" w:styleId="ColorfulShading">
    <w:name w:val="Colorful Shading"/>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4F2D7F" w:themeColor="accent1"/>
        <w:bottom w:val="single" w:sz="4" w:space="0" w:color="4F2D7F" w:themeColor="accent1"/>
        <w:right w:val="single" w:sz="4" w:space="0" w:color="4F2D7F" w:themeColor="accent1"/>
        <w:insideH w:val="single" w:sz="4" w:space="0" w:color="FFFFFF" w:themeColor="background1"/>
        <w:insideV w:val="single" w:sz="4" w:space="0" w:color="FFFFFF" w:themeColor="background1"/>
      </w:tblBorders>
    </w:tblPr>
    <w:tcPr>
      <w:shd w:val="clear" w:color="auto" w:fill="ECE6F6" w:themeFill="accent1"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F1B4C" w:themeFill="accent1" w:themeFillShade="99"/>
      </w:tcPr>
    </w:tblStylePr>
    <w:tblStylePr w:type="firstCol">
      <w:rPr>
        <w:color w:val="FFFFFF" w:themeColor="background1"/>
      </w:rPr>
      <w:tblPr/>
      <w:tcPr>
        <w:tcBorders>
          <w:top w:val="nil"/>
          <w:left w:val="nil"/>
          <w:bottom w:val="nil"/>
          <w:right w:val="nil"/>
          <w:insideH w:val="single" w:sz="4" w:space="0" w:color="2F1B4C" w:themeColor="accent1" w:themeShade="99"/>
          <w:insideV w:val="nil"/>
        </w:tcBorders>
        <w:shd w:val="clear" w:color="auto" w:fill="2F1B4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F1B4C" w:themeFill="accent1" w:themeFillShade="99"/>
      </w:tcPr>
    </w:tblStylePr>
    <w:tblStylePr w:type="band1Vert">
      <w:tblPr/>
      <w:tcPr>
        <w:shd w:val="clear" w:color="auto" w:fill="B59BDB" w:themeFill="accent1" w:themeFillTint="66"/>
      </w:tcPr>
    </w:tblStylePr>
    <w:tblStylePr w:type="band1Horz">
      <w:tblPr/>
      <w:tcPr>
        <w:shd w:val="clear" w:color="auto" w:fill="A382D3"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C30045" w:themeColor="accent2"/>
        <w:bottom w:val="single" w:sz="4" w:space="0" w:color="C30045" w:themeColor="accent2"/>
        <w:right w:val="single" w:sz="4" w:space="0" w:color="C30045" w:themeColor="accent2"/>
        <w:insideH w:val="single" w:sz="4" w:space="0" w:color="FFFFFF" w:themeColor="background1"/>
        <w:insideV w:val="single" w:sz="4" w:space="0" w:color="FFFFFF" w:themeColor="background1"/>
      </w:tblBorders>
    </w:tblPr>
    <w:tcPr>
      <w:shd w:val="clear" w:color="auto" w:fill="FFE0EA" w:themeFill="accent2"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50029" w:themeFill="accent2" w:themeFillShade="99"/>
      </w:tcPr>
    </w:tblStylePr>
    <w:tblStylePr w:type="firstCol">
      <w:rPr>
        <w:color w:val="FFFFFF" w:themeColor="background1"/>
      </w:rPr>
      <w:tblPr/>
      <w:tcPr>
        <w:tcBorders>
          <w:top w:val="nil"/>
          <w:left w:val="nil"/>
          <w:bottom w:val="nil"/>
          <w:right w:val="nil"/>
          <w:insideH w:val="single" w:sz="4" w:space="0" w:color="750029" w:themeColor="accent2" w:themeShade="99"/>
          <w:insideV w:val="nil"/>
        </w:tcBorders>
        <w:shd w:val="clear" w:color="auto" w:fill="75002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50029" w:themeFill="accent2" w:themeFillShade="99"/>
      </w:tcPr>
    </w:tblStylePr>
    <w:tblStylePr w:type="band1Vert">
      <w:tblPr/>
      <w:tcPr>
        <w:shd w:val="clear" w:color="auto" w:fill="FF81AD" w:themeFill="accent2" w:themeFillTint="66"/>
      </w:tcPr>
    </w:tblStylePr>
    <w:tblStylePr w:type="band1Horz">
      <w:tblPr/>
      <w:tcPr>
        <w:shd w:val="clear" w:color="auto" w:fill="FF6299"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DD5DC6"/>
    <w:rPr>
      <w:color w:val="000000" w:themeColor="text1"/>
    </w:rPr>
    <w:tblPr>
      <w:tblStyleRowBandSize w:val="1"/>
      <w:tblStyleColBandSize w:val="1"/>
      <w:tblBorders>
        <w:top w:val="single" w:sz="24" w:space="0" w:color="006D55" w:themeColor="accent4"/>
        <w:left w:val="single" w:sz="4" w:space="0" w:color="B1059D" w:themeColor="accent3"/>
        <w:bottom w:val="single" w:sz="4" w:space="0" w:color="B1059D" w:themeColor="accent3"/>
        <w:right w:val="single" w:sz="4" w:space="0" w:color="B1059D" w:themeColor="accent3"/>
        <w:insideH w:val="single" w:sz="4" w:space="0" w:color="FFFFFF" w:themeColor="background1"/>
        <w:insideV w:val="single" w:sz="4" w:space="0" w:color="FFFFFF" w:themeColor="background1"/>
      </w:tblBorders>
    </w:tblPr>
    <w:tcPr>
      <w:shd w:val="clear" w:color="auto" w:fill="FEDFFA" w:themeFill="accent3" w:themeFillTint="19"/>
    </w:tcPr>
    <w:tblStylePr w:type="firstRow">
      <w:rPr>
        <w:b/>
        <w:bCs/>
      </w:rPr>
      <w:tblPr/>
      <w:tcPr>
        <w:tcBorders>
          <w:top w:val="nil"/>
          <w:left w:val="nil"/>
          <w:bottom w:val="single" w:sz="24" w:space="0" w:color="006D5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9035D" w:themeFill="accent3" w:themeFillShade="99"/>
      </w:tcPr>
    </w:tblStylePr>
    <w:tblStylePr w:type="firstCol">
      <w:rPr>
        <w:color w:val="FFFFFF" w:themeColor="background1"/>
      </w:rPr>
      <w:tblPr/>
      <w:tcPr>
        <w:tcBorders>
          <w:top w:val="nil"/>
          <w:left w:val="nil"/>
          <w:bottom w:val="nil"/>
          <w:right w:val="nil"/>
          <w:insideH w:val="single" w:sz="4" w:space="0" w:color="69035D" w:themeColor="accent3" w:themeShade="99"/>
          <w:insideV w:val="nil"/>
        </w:tcBorders>
        <w:shd w:val="clear" w:color="auto" w:fill="69035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9035D" w:themeFill="accent3" w:themeFillShade="99"/>
      </w:tcPr>
    </w:tblStylePr>
    <w:tblStylePr w:type="band1Vert">
      <w:tblPr/>
      <w:tcPr>
        <w:shd w:val="clear" w:color="auto" w:fill="FB7FEC" w:themeFill="accent3" w:themeFillTint="66"/>
      </w:tcPr>
    </w:tblStylePr>
    <w:tblStylePr w:type="band1Horz">
      <w:tblPr/>
      <w:tcPr>
        <w:shd w:val="clear" w:color="auto" w:fill="FA5FE8" w:themeFill="accent3" w:themeFillTint="7F"/>
      </w:tcPr>
    </w:tblStylePr>
  </w:style>
  <w:style w:type="table" w:styleId="ColorfulShading-Accent4">
    <w:name w:val="Colorful Shading Accent 4"/>
    <w:basedOn w:val="TableNormal"/>
    <w:uiPriority w:val="71"/>
    <w:rsid w:val="00DD5DC6"/>
    <w:rPr>
      <w:color w:val="000000" w:themeColor="text1"/>
    </w:rPr>
    <w:tblPr>
      <w:tblStyleRowBandSize w:val="1"/>
      <w:tblStyleColBandSize w:val="1"/>
      <w:tblBorders>
        <w:top w:val="single" w:sz="24" w:space="0" w:color="B1059D" w:themeColor="accent3"/>
        <w:left w:val="single" w:sz="4" w:space="0" w:color="006D55" w:themeColor="accent4"/>
        <w:bottom w:val="single" w:sz="4" w:space="0" w:color="006D55" w:themeColor="accent4"/>
        <w:right w:val="single" w:sz="4" w:space="0" w:color="006D55" w:themeColor="accent4"/>
        <w:insideH w:val="single" w:sz="4" w:space="0" w:color="FFFFFF" w:themeColor="background1"/>
        <w:insideV w:val="single" w:sz="4" w:space="0" w:color="FFFFFF" w:themeColor="background1"/>
      </w:tblBorders>
    </w:tblPr>
    <w:tcPr>
      <w:shd w:val="clear" w:color="auto" w:fill="D7FFF6" w:themeFill="accent4" w:themeFillTint="19"/>
    </w:tcPr>
    <w:tblStylePr w:type="firstRow">
      <w:rPr>
        <w:b/>
        <w:bCs/>
      </w:rPr>
      <w:tblPr/>
      <w:tcPr>
        <w:tcBorders>
          <w:top w:val="nil"/>
          <w:left w:val="nil"/>
          <w:bottom w:val="single" w:sz="24" w:space="0" w:color="B1059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132" w:themeFill="accent4" w:themeFillShade="99"/>
      </w:tcPr>
    </w:tblStylePr>
    <w:tblStylePr w:type="firstCol">
      <w:rPr>
        <w:color w:val="FFFFFF" w:themeColor="background1"/>
      </w:rPr>
      <w:tblPr/>
      <w:tcPr>
        <w:tcBorders>
          <w:top w:val="nil"/>
          <w:left w:val="nil"/>
          <w:bottom w:val="nil"/>
          <w:right w:val="nil"/>
          <w:insideH w:val="single" w:sz="4" w:space="0" w:color="004132" w:themeColor="accent4" w:themeShade="99"/>
          <w:insideV w:val="nil"/>
        </w:tcBorders>
        <w:shd w:val="clear" w:color="auto" w:fill="00413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4132" w:themeFill="accent4" w:themeFillShade="99"/>
      </w:tcPr>
    </w:tblStylePr>
    <w:tblStylePr w:type="band1Vert">
      <w:tblPr/>
      <w:tcPr>
        <w:shd w:val="clear" w:color="auto" w:fill="5EFFDB" w:themeFill="accent4" w:themeFillTint="66"/>
      </w:tcPr>
    </w:tblStylePr>
    <w:tblStylePr w:type="band1Horz">
      <w:tblPr/>
      <w:tcPr>
        <w:shd w:val="clear" w:color="auto" w:fill="37FFD2"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DD5DC6"/>
    <w:rPr>
      <w:color w:val="000000" w:themeColor="text1"/>
    </w:rPr>
    <w:tblPr>
      <w:tblStyleRowBandSize w:val="1"/>
      <w:tblStyleColBandSize w:val="1"/>
      <w:tblBorders>
        <w:top w:val="single" w:sz="24" w:space="0" w:color="FF7900" w:themeColor="accent6"/>
        <w:left w:val="single" w:sz="4" w:space="0" w:color="7AB800" w:themeColor="accent5"/>
        <w:bottom w:val="single" w:sz="4" w:space="0" w:color="7AB800" w:themeColor="accent5"/>
        <w:right w:val="single" w:sz="4" w:space="0" w:color="7AB800" w:themeColor="accent5"/>
        <w:insideH w:val="single" w:sz="4" w:space="0" w:color="FFFFFF" w:themeColor="background1"/>
        <w:insideV w:val="single" w:sz="4" w:space="0" w:color="FFFFFF" w:themeColor="background1"/>
      </w:tblBorders>
    </w:tblPr>
    <w:tcPr>
      <w:shd w:val="clear" w:color="auto" w:fill="F4FFDF" w:themeFill="accent5" w:themeFillTint="19"/>
    </w:tcPr>
    <w:tblStylePr w:type="firstRow">
      <w:rPr>
        <w:b/>
        <w:bCs/>
      </w:rPr>
      <w:tblPr/>
      <w:tcPr>
        <w:tcBorders>
          <w:top w:val="nil"/>
          <w:left w:val="nil"/>
          <w:bottom w:val="single" w:sz="24" w:space="0" w:color="FF79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96E00" w:themeFill="accent5" w:themeFillShade="99"/>
      </w:tcPr>
    </w:tblStylePr>
    <w:tblStylePr w:type="firstCol">
      <w:rPr>
        <w:color w:val="FFFFFF" w:themeColor="background1"/>
      </w:rPr>
      <w:tblPr/>
      <w:tcPr>
        <w:tcBorders>
          <w:top w:val="nil"/>
          <w:left w:val="nil"/>
          <w:bottom w:val="nil"/>
          <w:right w:val="nil"/>
          <w:insideH w:val="single" w:sz="4" w:space="0" w:color="496E00" w:themeColor="accent5" w:themeShade="99"/>
          <w:insideV w:val="nil"/>
        </w:tcBorders>
        <w:shd w:val="clear" w:color="auto" w:fill="496E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96E00" w:themeFill="accent5" w:themeFillShade="99"/>
      </w:tcPr>
    </w:tblStylePr>
    <w:tblStylePr w:type="band1Vert">
      <w:tblPr/>
      <w:tcPr>
        <w:shd w:val="clear" w:color="auto" w:fill="D2FF7C" w:themeFill="accent5" w:themeFillTint="66"/>
      </w:tcPr>
    </w:tblStylePr>
    <w:tblStylePr w:type="band1Horz">
      <w:tblPr/>
      <w:tcPr>
        <w:shd w:val="clear" w:color="auto" w:fill="C8FF5C"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DD5DC6"/>
    <w:rPr>
      <w:color w:val="000000" w:themeColor="text1"/>
    </w:rPr>
    <w:tblPr>
      <w:tblStyleRowBandSize w:val="1"/>
      <w:tblStyleColBandSize w:val="1"/>
      <w:tblBorders>
        <w:top w:val="single" w:sz="24" w:space="0" w:color="7AB800" w:themeColor="accent5"/>
        <w:left w:val="single" w:sz="4" w:space="0" w:color="FF7900" w:themeColor="accent6"/>
        <w:bottom w:val="single" w:sz="4" w:space="0" w:color="FF7900" w:themeColor="accent6"/>
        <w:right w:val="single" w:sz="4" w:space="0" w:color="FF7900" w:themeColor="accent6"/>
        <w:insideH w:val="single" w:sz="4" w:space="0" w:color="FFFFFF" w:themeColor="background1"/>
        <w:insideV w:val="single" w:sz="4" w:space="0" w:color="FFFFFF" w:themeColor="background1"/>
      </w:tblBorders>
    </w:tblPr>
    <w:tcPr>
      <w:shd w:val="clear" w:color="auto" w:fill="FFF1E6" w:themeFill="accent6" w:themeFillTint="19"/>
    </w:tcPr>
    <w:tblStylePr w:type="firstRow">
      <w:rPr>
        <w:b/>
        <w:bCs/>
      </w:rPr>
      <w:tblPr/>
      <w:tcPr>
        <w:tcBorders>
          <w:top w:val="nil"/>
          <w:left w:val="nil"/>
          <w:bottom w:val="single" w:sz="24" w:space="0" w:color="7AB8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4800" w:themeFill="accent6" w:themeFillShade="99"/>
      </w:tcPr>
    </w:tblStylePr>
    <w:tblStylePr w:type="firstCol">
      <w:rPr>
        <w:color w:val="FFFFFF" w:themeColor="background1"/>
      </w:rPr>
      <w:tblPr/>
      <w:tcPr>
        <w:tcBorders>
          <w:top w:val="nil"/>
          <w:left w:val="nil"/>
          <w:bottom w:val="nil"/>
          <w:right w:val="nil"/>
          <w:insideH w:val="single" w:sz="4" w:space="0" w:color="994800" w:themeColor="accent6" w:themeShade="99"/>
          <w:insideV w:val="nil"/>
        </w:tcBorders>
        <w:shd w:val="clear" w:color="auto" w:fill="9948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4800" w:themeFill="accent6" w:themeFillShade="99"/>
      </w:tcPr>
    </w:tblStylePr>
    <w:tblStylePr w:type="band1Vert">
      <w:tblPr/>
      <w:tcPr>
        <w:shd w:val="clear" w:color="auto" w:fill="FFC999" w:themeFill="accent6" w:themeFillTint="66"/>
      </w:tcPr>
    </w:tblStylePr>
    <w:tblStylePr w:type="band1Horz">
      <w:tblPr/>
      <w:tcPr>
        <w:shd w:val="clear" w:color="auto" w:fill="FFBC8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rsid w:val="00DD5DC6"/>
    <w:rPr>
      <w:sz w:val="16"/>
      <w:szCs w:val="16"/>
      <w:lang w:val="en-US"/>
    </w:rPr>
  </w:style>
  <w:style w:type="paragraph" w:styleId="CommentText">
    <w:name w:val="annotation text"/>
    <w:basedOn w:val="Normal"/>
    <w:link w:val="CommentTextChar"/>
    <w:rsid w:val="00DD5DC6"/>
    <w:rPr>
      <w:sz w:val="20"/>
    </w:rPr>
  </w:style>
  <w:style w:type="character" w:customStyle="1" w:styleId="CommentTextChar">
    <w:name w:val="Comment Text Char"/>
    <w:basedOn w:val="DefaultParagraphFont"/>
    <w:link w:val="CommentText"/>
    <w:rsid w:val="00DD5DC6"/>
    <w:rPr>
      <w:rFonts w:ascii="Garamond" w:hAnsi="Garamond" w:cs="Arial"/>
      <w:lang w:val="en-US"/>
    </w:rPr>
  </w:style>
  <w:style w:type="paragraph" w:styleId="CommentSubject">
    <w:name w:val="annotation subject"/>
    <w:basedOn w:val="CommentText"/>
    <w:next w:val="CommentText"/>
    <w:link w:val="CommentSubjectChar"/>
    <w:rsid w:val="00DD5DC6"/>
    <w:rPr>
      <w:b/>
      <w:bCs/>
    </w:rPr>
  </w:style>
  <w:style w:type="character" w:customStyle="1" w:styleId="CommentSubjectChar">
    <w:name w:val="Comment Subject Char"/>
    <w:basedOn w:val="CommentTextChar"/>
    <w:link w:val="CommentSubject"/>
    <w:rsid w:val="00DD5DC6"/>
    <w:rPr>
      <w:rFonts w:ascii="Garamond" w:hAnsi="Garamond" w:cs="Arial"/>
      <w:b/>
      <w:bCs/>
      <w:lang w:val="en-US"/>
    </w:rPr>
  </w:style>
  <w:style w:type="table" w:styleId="DarkList">
    <w:name w:val="Dark List"/>
    <w:basedOn w:val="TableNormal"/>
    <w:uiPriority w:val="70"/>
    <w:rsid w:val="00DD5DC6"/>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DD5DC6"/>
    <w:rPr>
      <w:color w:val="FFFFFF" w:themeColor="background1"/>
    </w:rPr>
    <w:tblPr>
      <w:tblStyleRowBandSize w:val="1"/>
      <w:tblStyleColBandSize w:val="1"/>
    </w:tblPr>
    <w:tcPr>
      <w:shd w:val="clear" w:color="auto" w:fill="4F2D7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7163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A215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A215E" w:themeFill="accent1" w:themeFillShade="BF"/>
      </w:tcPr>
    </w:tblStylePr>
    <w:tblStylePr w:type="band1Vert">
      <w:tblPr/>
      <w:tcPr>
        <w:tcBorders>
          <w:top w:val="nil"/>
          <w:left w:val="nil"/>
          <w:bottom w:val="nil"/>
          <w:right w:val="nil"/>
          <w:insideH w:val="nil"/>
          <w:insideV w:val="nil"/>
        </w:tcBorders>
        <w:shd w:val="clear" w:color="auto" w:fill="3A215E" w:themeFill="accent1" w:themeFillShade="BF"/>
      </w:tcPr>
    </w:tblStylePr>
    <w:tblStylePr w:type="band1Horz">
      <w:tblPr/>
      <w:tcPr>
        <w:tcBorders>
          <w:top w:val="nil"/>
          <w:left w:val="nil"/>
          <w:bottom w:val="nil"/>
          <w:right w:val="nil"/>
          <w:insideH w:val="nil"/>
          <w:insideV w:val="nil"/>
        </w:tcBorders>
        <w:shd w:val="clear" w:color="auto" w:fill="3A215E" w:themeFill="accent1" w:themeFillShade="BF"/>
      </w:tcPr>
    </w:tblStylePr>
  </w:style>
  <w:style w:type="table" w:styleId="DarkList-Accent2">
    <w:name w:val="Dark List Accent 2"/>
    <w:basedOn w:val="TableNormal"/>
    <w:uiPriority w:val="70"/>
    <w:rsid w:val="00DD5DC6"/>
    <w:rPr>
      <w:color w:val="FFFFFF" w:themeColor="background1"/>
    </w:rPr>
    <w:tblPr>
      <w:tblStyleRowBandSize w:val="1"/>
      <w:tblStyleColBandSize w:val="1"/>
    </w:tblPr>
    <w:tcPr>
      <w:shd w:val="clear" w:color="auto" w:fill="C30045"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10022"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20033"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20033" w:themeFill="accent2" w:themeFillShade="BF"/>
      </w:tcPr>
    </w:tblStylePr>
    <w:tblStylePr w:type="band1Vert">
      <w:tblPr/>
      <w:tcPr>
        <w:tcBorders>
          <w:top w:val="nil"/>
          <w:left w:val="nil"/>
          <w:bottom w:val="nil"/>
          <w:right w:val="nil"/>
          <w:insideH w:val="nil"/>
          <w:insideV w:val="nil"/>
        </w:tcBorders>
        <w:shd w:val="clear" w:color="auto" w:fill="920033" w:themeFill="accent2" w:themeFillShade="BF"/>
      </w:tcPr>
    </w:tblStylePr>
    <w:tblStylePr w:type="band1Horz">
      <w:tblPr/>
      <w:tcPr>
        <w:tcBorders>
          <w:top w:val="nil"/>
          <w:left w:val="nil"/>
          <w:bottom w:val="nil"/>
          <w:right w:val="nil"/>
          <w:insideH w:val="nil"/>
          <w:insideV w:val="nil"/>
        </w:tcBorders>
        <w:shd w:val="clear" w:color="auto" w:fill="920033" w:themeFill="accent2" w:themeFillShade="BF"/>
      </w:tcPr>
    </w:tblStylePr>
  </w:style>
  <w:style w:type="table" w:styleId="DarkList-Accent3">
    <w:name w:val="Dark List Accent 3"/>
    <w:basedOn w:val="TableNormal"/>
    <w:uiPriority w:val="70"/>
    <w:rsid w:val="00DD5DC6"/>
    <w:rPr>
      <w:color w:val="FFFFFF" w:themeColor="background1"/>
    </w:rPr>
    <w:tblPr>
      <w:tblStyleRowBandSize w:val="1"/>
      <w:tblStyleColBandSize w:val="1"/>
    </w:tblPr>
    <w:tcPr>
      <w:shd w:val="clear" w:color="auto" w:fill="B1059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7024D"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40375"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40375" w:themeFill="accent3" w:themeFillShade="BF"/>
      </w:tcPr>
    </w:tblStylePr>
    <w:tblStylePr w:type="band1Vert">
      <w:tblPr/>
      <w:tcPr>
        <w:tcBorders>
          <w:top w:val="nil"/>
          <w:left w:val="nil"/>
          <w:bottom w:val="nil"/>
          <w:right w:val="nil"/>
          <w:insideH w:val="nil"/>
          <w:insideV w:val="nil"/>
        </w:tcBorders>
        <w:shd w:val="clear" w:color="auto" w:fill="840375" w:themeFill="accent3" w:themeFillShade="BF"/>
      </w:tcPr>
    </w:tblStylePr>
    <w:tblStylePr w:type="band1Horz">
      <w:tblPr/>
      <w:tcPr>
        <w:tcBorders>
          <w:top w:val="nil"/>
          <w:left w:val="nil"/>
          <w:bottom w:val="nil"/>
          <w:right w:val="nil"/>
          <w:insideH w:val="nil"/>
          <w:insideV w:val="nil"/>
        </w:tcBorders>
        <w:shd w:val="clear" w:color="auto" w:fill="840375" w:themeFill="accent3" w:themeFillShade="BF"/>
      </w:tcPr>
    </w:tblStylePr>
  </w:style>
  <w:style w:type="table" w:styleId="DarkList-Accent4">
    <w:name w:val="Dark List Accent 4"/>
    <w:basedOn w:val="TableNormal"/>
    <w:uiPriority w:val="70"/>
    <w:rsid w:val="00DD5DC6"/>
    <w:rPr>
      <w:color w:val="FFFFFF" w:themeColor="background1"/>
    </w:rPr>
    <w:tblPr>
      <w:tblStyleRowBandSize w:val="1"/>
      <w:tblStyleColBandSize w:val="1"/>
    </w:tblPr>
    <w:tcPr>
      <w:shd w:val="clear" w:color="auto" w:fill="006D5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62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513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513F" w:themeFill="accent4" w:themeFillShade="BF"/>
      </w:tcPr>
    </w:tblStylePr>
    <w:tblStylePr w:type="band1Vert">
      <w:tblPr/>
      <w:tcPr>
        <w:tcBorders>
          <w:top w:val="nil"/>
          <w:left w:val="nil"/>
          <w:bottom w:val="nil"/>
          <w:right w:val="nil"/>
          <w:insideH w:val="nil"/>
          <w:insideV w:val="nil"/>
        </w:tcBorders>
        <w:shd w:val="clear" w:color="auto" w:fill="00513F" w:themeFill="accent4" w:themeFillShade="BF"/>
      </w:tcPr>
    </w:tblStylePr>
    <w:tblStylePr w:type="band1Horz">
      <w:tblPr/>
      <w:tcPr>
        <w:tcBorders>
          <w:top w:val="nil"/>
          <w:left w:val="nil"/>
          <w:bottom w:val="nil"/>
          <w:right w:val="nil"/>
          <w:insideH w:val="nil"/>
          <w:insideV w:val="nil"/>
        </w:tcBorders>
        <w:shd w:val="clear" w:color="auto" w:fill="00513F" w:themeFill="accent4" w:themeFillShade="BF"/>
      </w:tcPr>
    </w:tblStylePr>
  </w:style>
  <w:style w:type="table" w:styleId="DarkList-Accent5">
    <w:name w:val="Dark List Accent 5"/>
    <w:basedOn w:val="TableNormal"/>
    <w:uiPriority w:val="70"/>
    <w:rsid w:val="00DD5DC6"/>
    <w:rPr>
      <w:color w:val="FFFFFF" w:themeColor="background1"/>
    </w:rPr>
    <w:tblPr>
      <w:tblStyleRowBandSize w:val="1"/>
      <w:tblStyleColBandSize w:val="1"/>
    </w:tblPr>
    <w:tcPr>
      <w:shd w:val="clear" w:color="auto" w:fill="7AB8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C5B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B89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B8900" w:themeFill="accent5" w:themeFillShade="BF"/>
      </w:tcPr>
    </w:tblStylePr>
    <w:tblStylePr w:type="band1Vert">
      <w:tblPr/>
      <w:tcPr>
        <w:tcBorders>
          <w:top w:val="nil"/>
          <w:left w:val="nil"/>
          <w:bottom w:val="nil"/>
          <w:right w:val="nil"/>
          <w:insideH w:val="nil"/>
          <w:insideV w:val="nil"/>
        </w:tcBorders>
        <w:shd w:val="clear" w:color="auto" w:fill="5B8900" w:themeFill="accent5" w:themeFillShade="BF"/>
      </w:tcPr>
    </w:tblStylePr>
    <w:tblStylePr w:type="band1Horz">
      <w:tblPr/>
      <w:tcPr>
        <w:tcBorders>
          <w:top w:val="nil"/>
          <w:left w:val="nil"/>
          <w:bottom w:val="nil"/>
          <w:right w:val="nil"/>
          <w:insideH w:val="nil"/>
          <w:insideV w:val="nil"/>
        </w:tcBorders>
        <w:shd w:val="clear" w:color="auto" w:fill="5B8900" w:themeFill="accent5" w:themeFillShade="BF"/>
      </w:tcPr>
    </w:tblStylePr>
  </w:style>
  <w:style w:type="table" w:styleId="DarkList-Accent6">
    <w:name w:val="Dark List Accent 6"/>
    <w:basedOn w:val="TableNormal"/>
    <w:uiPriority w:val="70"/>
    <w:rsid w:val="00DD5DC6"/>
    <w:rPr>
      <w:color w:val="FFFFFF" w:themeColor="background1"/>
    </w:rPr>
    <w:tblPr>
      <w:tblStyleRowBandSize w:val="1"/>
      <w:tblStyleColBandSize w:val="1"/>
    </w:tblPr>
    <w:tcPr>
      <w:shd w:val="clear" w:color="auto" w:fill="FF79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C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5A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5A00" w:themeFill="accent6" w:themeFillShade="BF"/>
      </w:tcPr>
    </w:tblStylePr>
    <w:tblStylePr w:type="band1Vert">
      <w:tblPr/>
      <w:tcPr>
        <w:tcBorders>
          <w:top w:val="nil"/>
          <w:left w:val="nil"/>
          <w:bottom w:val="nil"/>
          <w:right w:val="nil"/>
          <w:insideH w:val="nil"/>
          <w:insideV w:val="nil"/>
        </w:tcBorders>
        <w:shd w:val="clear" w:color="auto" w:fill="BF5A00" w:themeFill="accent6" w:themeFillShade="BF"/>
      </w:tcPr>
    </w:tblStylePr>
    <w:tblStylePr w:type="band1Horz">
      <w:tblPr/>
      <w:tcPr>
        <w:tcBorders>
          <w:top w:val="nil"/>
          <w:left w:val="nil"/>
          <w:bottom w:val="nil"/>
          <w:right w:val="nil"/>
          <w:insideH w:val="nil"/>
          <w:insideV w:val="nil"/>
        </w:tcBorders>
        <w:shd w:val="clear" w:color="auto" w:fill="BF5A00" w:themeFill="accent6" w:themeFillShade="BF"/>
      </w:tcPr>
    </w:tblStylePr>
  </w:style>
  <w:style w:type="paragraph" w:styleId="Date">
    <w:name w:val="Date"/>
    <w:basedOn w:val="Normal"/>
    <w:next w:val="Normal"/>
    <w:link w:val="DateChar"/>
    <w:rsid w:val="00DD5DC6"/>
  </w:style>
  <w:style w:type="character" w:customStyle="1" w:styleId="DateChar">
    <w:name w:val="Date Char"/>
    <w:basedOn w:val="DefaultParagraphFont"/>
    <w:link w:val="Date"/>
    <w:rsid w:val="00DD5DC6"/>
    <w:rPr>
      <w:rFonts w:ascii="Garamond" w:hAnsi="Garamond" w:cs="Arial"/>
      <w:sz w:val="22"/>
      <w:lang w:val="en-US"/>
    </w:rPr>
  </w:style>
  <w:style w:type="paragraph" w:styleId="DocumentMap">
    <w:name w:val="Document Map"/>
    <w:basedOn w:val="Normal"/>
    <w:link w:val="DocumentMapChar"/>
    <w:rsid w:val="00DD5DC6"/>
    <w:rPr>
      <w:rFonts w:ascii="Tahoma" w:hAnsi="Tahoma" w:cs="Tahoma"/>
      <w:sz w:val="16"/>
      <w:szCs w:val="16"/>
    </w:rPr>
  </w:style>
  <w:style w:type="character" w:customStyle="1" w:styleId="DocumentMapChar">
    <w:name w:val="Document Map Char"/>
    <w:basedOn w:val="DefaultParagraphFont"/>
    <w:link w:val="DocumentMap"/>
    <w:rsid w:val="00DD5DC6"/>
    <w:rPr>
      <w:rFonts w:ascii="Tahoma" w:hAnsi="Tahoma" w:cs="Tahoma"/>
      <w:sz w:val="16"/>
      <w:szCs w:val="16"/>
      <w:lang w:val="en-US"/>
    </w:rPr>
  </w:style>
  <w:style w:type="paragraph" w:styleId="E-mailSignature">
    <w:name w:val="E-mail Signature"/>
    <w:basedOn w:val="Normal"/>
    <w:link w:val="E-mailSignatureChar"/>
    <w:rsid w:val="00DD5DC6"/>
  </w:style>
  <w:style w:type="character" w:customStyle="1" w:styleId="E-mailSignatureChar">
    <w:name w:val="E-mail Signature Char"/>
    <w:basedOn w:val="DefaultParagraphFont"/>
    <w:link w:val="E-mailSignature"/>
    <w:rsid w:val="00DD5DC6"/>
    <w:rPr>
      <w:rFonts w:ascii="Garamond" w:hAnsi="Garamond" w:cs="Arial"/>
      <w:sz w:val="22"/>
      <w:lang w:val="en-US"/>
    </w:rPr>
  </w:style>
  <w:style w:type="character" w:styleId="Emphasis">
    <w:name w:val="Emphasis"/>
    <w:basedOn w:val="DefaultParagraphFont"/>
    <w:rsid w:val="00DD5DC6"/>
    <w:rPr>
      <w:i/>
      <w:iCs/>
      <w:lang w:val="en-US"/>
    </w:rPr>
  </w:style>
  <w:style w:type="character" w:styleId="EndnoteReference">
    <w:name w:val="endnote reference"/>
    <w:basedOn w:val="DefaultParagraphFont"/>
    <w:rsid w:val="00DD5DC6"/>
    <w:rPr>
      <w:vertAlign w:val="superscript"/>
      <w:lang w:val="en-US"/>
    </w:rPr>
  </w:style>
  <w:style w:type="paragraph" w:styleId="EndnoteText">
    <w:name w:val="endnote text"/>
    <w:basedOn w:val="Normal"/>
    <w:link w:val="EndnoteTextChar"/>
    <w:rsid w:val="00DD5DC6"/>
    <w:rPr>
      <w:sz w:val="20"/>
    </w:rPr>
  </w:style>
  <w:style w:type="character" w:customStyle="1" w:styleId="EndnoteTextChar">
    <w:name w:val="Endnote Text Char"/>
    <w:basedOn w:val="DefaultParagraphFont"/>
    <w:link w:val="EndnoteText"/>
    <w:rsid w:val="00DD5DC6"/>
    <w:rPr>
      <w:rFonts w:ascii="Garamond" w:hAnsi="Garamond" w:cs="Arial"/>
      <w:lang w:val="en-US"/>
    </w:rPr>
  </w:style>
  <w:style w:type="paragraph" w:styleId="EnvelopeAddress">
    <w:name w:val="envelope address"/>
    <w:basedOn w:val="Normal"/>
    <w:rsid w:val="00DD5DC6"/>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DD5DC6"/>
    <w:rPr>
      <w:rFonts w:asciiTheme="majorHAnsi" w:eastAsiaTheme="majorEastAsia" w:hAnsiTheme="majorHAnsi" w:cstheme="majorBidi"/>
      <w:sz w:val="20"/>
    </w:rPr>
  </w:style>
  <w:style w:type="character" w:styleId="FollowedHyperlink">
    <w:name w:val="FollowedHyperlink"/>
    <w:basedOn w:val="DefaultParagraphFont"/>
    <w:rsid w:val="00DD5DC6"/>
    <w:rPr>
      <w:color w:val="800080" w:themeColor="followedHyperlink"/>
      <w:u w:val="single"/>
      <w:lang w:val="en-US"/>
    </w:rPr>
  </w:style>
  <w:style w:type="character" w:styleId="FootnoteReference">
    <w:name w:val="footnote reference"/>
    <w:basedOn w:val="DefaultParagraphFont"/>
    <w:rsid w:val="00DD5DC6"/>
    <w:rPr>
      <w:vertAlign w:val="superscript"/>
      <w:lang w:val="en-US"/>
    </w:rPr>
  </w:style>
  <w:style w:type="paragraph" w:styleId="FootnoteText">
    <w:name w:val="footnote text"/>
    <w:basedOn w:val="Normal"/>
    <w:link w:val="FootnoteTextChar"/>
    <w:rsid w:val="00DD5DC6"/>
    <w:rPr>
      <w:sz w:val="20"/>
    </w:rPr>
  </w:style>
  <w:style w:type="character" w:customStyle="1" w:styleId="FootnoteTextChar">
    <w:name w:val="Footnote Text Char"/>
    <w:basedOn w:val="DefaultParagraphFont"/>
    <w:link w:val="FootnoteText"/>
    <w:rsid w:val="00DD5DC6"/>
    <w:rPr>
      <w:rFonts w:ascii="Garamond" w:hAnsi="Garamond" w:cs="Arial"/>
      <w:lang w:val="en-US"/>
    </w:rPr>
  </w:style>
  <w:style w:type="character" w:styleId="HTMLAcronym">
    <w:name w:val="HTML Acronym"/>
    <w:basedOn w:val="DefaultParagraphFont"/>
    <w:rsid w:val="00DD5DC6"/>
    <w:rPr>
      <w:lang w:val="en-US"/>
    </w:rPr>
  </w:style>
  <w:style w:type="paragraph" w:styleId="HTMLAddress">
    <w:name w:val="HTML Address"/>
    <w:basedOn w:val="Normal"/>
    <w:link w:val="HTMLAddressChar"/>
    <w:rsid w:val="00DD5DC6"/>
    <w:rPr>
      <w:i/>
      <w:iCs/>
    </w:rPr>
  </w:style>
  <w:style w:type="character" w:customStyle="1" w:styleId="HTMLAddressChar">
    <w:name w:val="HTML Address Char"/>
    <w:basedOn w:val="DefaultParagraphFont"/>
    <w:link w:val="HTMLAddress"/>
    <w:rsid w:val="00DD5DC6"/>
    <w:rPr>
      <w:rFonts w:ascii="Garamond" w:hAnsi="Garamond" w:cs="Arial"/>
      <w:i/>
      <w:iCs/>
      <w:sz w:val="22"/>
      <w:lang w:val="en-US"/>
    </w:rPr>
  </w:style>
  <w:style w:type="character" w:styleId="HTMLCite">
    <w:name w:val="HTML Cite"/>
    <w:basedOn w:val="DefaultParagraphFont"/>
    <w:rsid w:val="00DD5DC6"/>
    <w:rPr>
      <w:i/>
      <w:iCs/>
      <w:lang w:val="en-US"/>
    </w:rPr>
  </w:style>
  <w:style w:type="character" w:styleId="HTMLCode">
    <w:name w:val="HTML Code"/>
    <w:basedOn w:val="DefaultParagraphFont"/>
    <w:rsid w:val="00DD5DC6"/>
    <w:rPr>
      <w:rFonts w:ascii="Consolas" w:hAnsi="Consolas"/>
      <w:sz w:val="20"/>
      <w:szCs w:val="20"/>
      <w:lang w:val="en-US"/>
    </w:rPr>
  </w:style>
  <w:style w:type="character" w:styleId="HTMLDefinition">
    <w:name w:val="HTML Definition"/>
    <w:basedOn w:val="DefaultParagraphFont"/>
    <w:rsid w:val="00DD5DC6"/>
    <w:rPr>
      <w:i/>
      <w:iCs/>
      <w:lang w:val="en-US"/>
    </w:rPr>
  </w:style>
  <w:style w:type="character" w:styleId="HTMLKeyboard">
    <w:name w:val="HTML Keyboard"/>
    <w:basedOn w:val="DefaultParagraphFont"/>
    <w:rsid w:val="00DD5DC6"/>
    <w:rPr>
      <w:rFonts w:ascii="Consolas" w:hAnsi="Consolas"/>
      <w:sz w:val="20"/>
      <w:szCs w:val="20"/>
      <w:lang w:val="en-US"/>
    </w:rPr>
  </w:style>
  <w:style w:type="paragraph" w:styleId="HTMLPreformatted">
    <w:name w:val="HTML Preformatted"/>
    <w:basedOn w:val="Normal"/>
    <w:link w:val="HTMLPreformattedChar"/>
    <w:rsid w:val="00DD5DC6"/>
    <w:rPr>
      <w:rFonts w:ascii="Consolas" w:hAnsi="Consolas"/>
      <w:sz w:val="20"/>
    </w:rPr>
  </w:style>
  <w:style w:type="character" w:customStyle="1" w:styleId="HTMLPreformattedChar">
    <w:name w:val="HTML Preformatted Char"/>
    <w:basedOn w:val="DefaultParagraphFont"/>
    <w:link w:val="HTMLPreformatted"/>
    <w:rsid w:val="00DD5DC6"/>
    <w:rPr>
      <w:rFonts w:ascii="Consolas" w:hAnsi="Consolas" w:cs="Arial"/>
      <w:lang w:val="en-US"/>
    </w:rPr>
  </w:style>
  <w:style w:type="character" w:styleId="HTMLSample">
    <w:name w:val="HTML Sample"/>
    <w:basedOn w:val="DefaultParagraphFont"/>
    <w:rsid w:val="00DD5DC6"/>
    <w:rPr>
      <w:rFonts w:ascii="Consolas" w:hAnsi="Consolas"/>
      <w:sz w:val="24"/>
      <w:szCs w:val="24"/>
      <w:lang w:val="en-US"/>
    </w:rPr>
  </w:style>
  <w:style w:type="character" w:styleId="HTMLTypewriter">
    <w:name w:val="HTML Typewriter"/>
    <w:basedOn w:val="DefaultParagraphFont"/>
    <w:rsid w:val="00DD5DC6"/>
    <w:rPr>
      <w:rFonts w:ascii="Consolas" w:hAnsi="Consolas"/>
      <w:sz w:val="20"/>
      <w:szCs w:val="20"/>
      <w:lang w:val="en-US"/>
    </w:rPr>
  </w:style>
  <w:style w:type="character" w:styleId="HTMLVariable">
    <w:name w:val="HTML Variable"/>
    <w:basedOn w:val="DefaultParagraphFont"/>
    <w:rsid w:val="00DD5DC6"/>
    <w:rPr>
      <w:i/>
      <w:iCs/>
      <w:lang w:val="en-US"/>
    </w:rPr>
  </w:style>
  <w:style w:type="character" w:styleId="Hyperlink">
    <w:name w:val="Hyperlink"/>
    <w:basedOn w:val="DefaultParagraphFont"/>
    <w:uiPriority w:val="99"/>
    <w:rsid w:val="00DD5DC6"/>
    <w:rPr>
      <w:color w:val="0000FF" w:themeColor="hyperlink"/>
      <w:u w:val="single"/>
      <w:lang w:val="en-US"/>
    </w:rPr>
  </w:style>
  <w:style w:type="paragraph" w:styleId="Index1">
    <w:name w:val="index 1"/>
    <w:basedOn w:val="Normal"/>
    <w:next w:val="Normal"/>
    <w:autoRedefine/>
    <w:rsid w:val="00DD5DC6"/>
    <w:pPr>
      <w:ind w:left="220" w:hanging="220"/>
    </w:pPr>
  </w:style>
  <w:style w:type="paragraph" w:styleId="Index2">
    <w:name w:val="index 2"/>
    <w:basedOn w:val="Normal"/>
    <w:next w:val="Normal"/>
    <w:autoRedefine/>
    <w:rsid w:val="00DD5DC6"/>
    <w:pPr>
      <w:ind w:left="440" w:hanging="220"/>
    </w:pPr>
  </w:style>
  <w:style w:type="paragraph" w:styleId="Index3">
    <w:name w:val="index 3"/>
    <w:basedOn w:val="Normal"/>
    <w:next w:val="Normal"/>
    <w:autoRedefine/>
    <w:rsid w:val="00DD5DC6"/>
    <w:pPr>
      <w:ind w:left="660" w:hanging="220"/>
    </w:pPr>
  </w:style>
  <w:style w:type="paragraph" w:styleId="Index4">
    <w:name w:val="index 4"/>
    <w:basedOn w:val="Normal"/>
    <w:next w:val="Normal"/>
    <w:autoRedefine/>
    <w:rsid w:val="00DD5DC6"/>
    <w:pPr>
      <w:ind w:left="880" w:hanging="220"/>
    </w:pPr>
  </w:style>
  <w:style w:type="paragraph" w:styleId="Index5">
    <w:name w:val="index 5"/>
    <w:basedOn w:val="Normal"/>
    <w:next w:val="Normal"/>
    <w:autoRedefine/>
    <w:rsid w:val="00DD5DC6"/>
    <w:pPr>
      <w:ind w:left="1100" w:hanging="220"/>
    </w:pPr>
  </w:style>
  <w:style w:type="paragraph" w:styleId="Index6">
    <w:name w:val="index 6"/>
    <w:basedOn w:val="Normal"/>
    <w:next w:val="Normal"/>
    <w:autoRedefine/>
    <w:rsid w:val="00DD5DC6"/>
    <w:pPr>
      <w:ind w:left="1320" w:hanging="220"/>
    </w:pPr>
  </w:style>
  <w:style w:type="paragraph" w:styleId="Index7">
    <w:name w:val="index 7"/>
    <w:basedOn w:val="Normal"/>
    <w:next w:val="Normal"/>
    <w:autoRedefine/>
    <w:rsid w:val="00DD5DC6"/>
    <w:pPr>
      <w:ind w:left="1540" w:hanging="220"/>
    </w:pPr>
  </w:style>
  <w:style w:type="paragraph" w:styleId="Index8">
    <w:name w:val="index 8"/>
    <w:basedOn w:val="Normal"/>
    <w:next w:val="Normal"/>
    <w:autoRedefine/>
    <w:rsid w:val="00DD5DC6"/>
    <w:pPr>
      <w:ind w:left="1760" w:hanging="220"/>
    </w:pPr>
  </w:style>
  <w:style w:type="paragraph" w:styleId="Index9">
    <w:name w:val="index 9"/>
    <w:basedOn w:val="Normal"/>
    <w:next w:val="Normal"/>
    <w:autoRedefine/>
    <w:rsid w:val="00DD5DC6"/>
    <w:pPr>
      <w:ind w:left="1980" w:hanging="220"/>
    </w:pPr>
  </w:style>
  <w:style w:type="paragraph" w:styleId="IndexHeading">
    <w:name w:val="index heading"/>
    <w:basedOn w:val="Normal"/>
    <w:next w:val="Index1"/>
    <w:rsid w:val="00DD5DC6"/>
    <w:rPr>
      <w:rFonts w:asciiTheme="majorHAnsi" w:eastAsiaTheme="majorEastAsia" w:hAnsiTheme="majorHAnsi" w:cstheme="majorBidi"/>
      <w:b/>
      <w:bCs/>
    </w:rPr>
  </w:style>
  <w:style w:type="character" w:styleId="IntenseEmphasis">
    <w:name w:val="Intense Emphasis"/>
    <w:basedOn w:val="DefaultParagraphFont"/>
    <w:uiPriority w:val="21"/>
    <w:rsid w:val="00DD5DC6"/>
    <w:rPr>
      <w:b/>
      <w:bCs/>
      <w:i/>
      <w:iCs/>
      <w:color w:val="4F2D7F" w:themeColor="accent1"/>
      <w:lang w:val="en-US"/>
    </w:rPr>
  </w:style>
  <w:style w:type="character" w:styleId="IntenseReference">
    <w:name w:val="Intense Reference"/>
    <w:basedOn w:val="DefaultParagraphFont"/>
    <w:uiPriority w:val="32"/>
    <w:rsid w:val="00DD5DC6"/>
    <w:rPr>
      <w:b/>
      <w:bCs/>
      <w:smallCaps/>
      <w:color w:val="C30045" w:themeColor="accent2"/>
      <w:spacing w:val="5"/>
      <w:u w:val="single"/>
      <w:lang w:val="en-US"/>
    </w:rPr>
  </w:style>
  <w:style w:type="table" w:styleId="LightGrid">
    <w:name w:val="Light Grid"/>
    <w:basedOn w:val="TableNormal"/>
    <w:uiPriority w:val="62"/>
    <w:rsid w:val="00DD5DC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DD5DC6"/>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insideH w:val="single" w:sz="8" w:space="0" w:color="4F2D7F" w:themeColor="accent1"/>
        <w:insideV w:val="single" w:sz="8" w:space="0" w:color="4F2D7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2D7F" w:themeColor="accent1"/>
          <w:left w:val="single" w:sz="8" w:space="0" w:color="4F2D7F" w:themeColor="accent1"/>
          <w:bottom w:val="single" w:sz="18" w:space="0" w:color="4F2D7F" w:themeColor="accent1"/>
          <w:right w:val="single" w:sz="8" w:space="0" w:color="4F2D7F" w:themeColor="accent1"/>
          <w:insideH w:val="nil"/>
          <w:insideV w:val="single" w:sz="8" w:space="0" w:color="4F2D7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2D7F" w:themeColor="accent1"/>
          <w:left w:val="single" w:sz="8" w:space="0" w:color="4F2D7F" w:themeColor="accent1"/>
          <w:bottom w:val="single" w:sz="8" w:space="0" w:color="4F2D7F" w:themeColor="accent1"/>
          <w:right w:val="single" w:sz="8" w:space="0" w:color="4F2D7F" w:themeColor="accent1"/>
          <w:insideH w:val="nil"/>
          <w:insideV w:val="single" w:sz="8" w:space="0" w:color="4F2D7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tblStylePr w:type="band1Vert">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shd w:val="clear" w:color="auto" w:fill="D1C1E9" w:themeFill="accent1" w:themeFillTint="3F"/>
      </w:tcPr>
    </w:tblStylePr>
    <w:tblStylePr w:type="band1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insideV w:val="single" w:sz="8" w:space="0" w:color="4F2D7F" w:themeColor="accent1"/>
        </w:tcBorders>
        <w:shd w:val="clear" w:color="auto" w:fill="D1C1E9" w:themeFill="accent1" w:themeFillTint="3F"/>
      </w:tcPr>
    </w:tblStylePr>
    <w:tblStylePr w:type="band2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insideV w:val="single" w:sz="8" w:space="0" w:color="4F2D7F" w:themeColor="accent1"/>
        </w:tcBorders>
      </w:tcPr>
    </w:tblStylePr>
  </w:style>
  <w:style w:type="table" w:styleId="LightGrid-Accent2">
    <w:name w:val="Light Grid Accent 2"/>
    <w:basedOn w:val="TableNormal"/>
    <w:uiPriority w:val="62"/>
    <w:rsid w:val="00DD5DC6"/>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insideH w:val="single" w:sz="8" w:space="0" w:color="C30045" w:themeColor="accent2"/>
        <w:insideV w:val="single" w:sz="8" w:space="0" w:color="C30045"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30045" w:themeColor="accent2"/>
          <w:left w:val="single" w:sz="8" w:space="0" w:color="C30045" w:themeColor="accent2"/>
          <w:bottom w:val="single" w:sz="18" w:space="0" w:color="C30045" w:themeColor="accent2"/>
          <w:right w:val="single" w:sz="8" w:space="0" w:color="C30045" w:themeColor="accent2"/>
          <w:insideH w:val="nil"/>
          <w:insideV w:val="single" w:sz="8" w:space="0" w:color="C30045"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30045" w:themeColor="accent2"/>
          <w:left w:val="single" w:sz="8" w:space="0" w:color="C30045" w:themeColor="accent2"/>
          <w:bottom w:val="single" w:sz="8" w:space="0" w:color="C30045" w:themeColor="accent2"/>
          <w:right w:val="single" w:sz="8" w:space="0" w:color="C30045" w:themeColor="accent2"/>
          <w:insideH w:val="nil"/>
          <w:insideV w:val="single" w:sz="8" w:space="0" w:color="C30045"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tblStylePr w:type="band1Vert">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shd w:val="clear" w:color="auto" w:fill="FFB1CC" w:themeFill="accent2" w:themeFillTint="3F"/>
      </w:tcPr>
    </w:tblStylePr>
    <w:tblStylePr w:type="band1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insideV w:val="single" w:sz="8" w:space="0" w:color="C30045" w:themeColor="accent2"/>
        </w:tcBorders>
        <w:shd w:val="clear" w:color="auto" w:fill="FFB1CC" w:themeFill="accent2" w:themeFillTint="3F"/>
      </w:tcPr>
    </w:tblStylePr>
    <w:tblStylePr w:type="band2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insideV w:val="single" w:sz="8" w:space="0" w:color="C30045" w:themeColor="accent2"/>
        </w:tcBorders>
      </w:tcPr>
    </w:tblStylePr>
  </w:style>
  <w:style w:type="table" w:styleId="LightGrid-Accent3">
    <w:name w:val="Light Grid Accent 3"/>
    <w:basedOn w:val="TableNormal"/>
    <w:uiPriority w:val="62"/>
    <w:rsid w:val="00DD5DC6"/>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insideH w:val="single" w:sz="8" w:space="0" w:color="B1059D" w:themeColor="accent3"/>
        <w:insideV w:val="single" w:sz="8" w:space="0" w:color="B1059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1059D" w:themeColor="accent3"/>
          <w:left w:val="single" w:sz="8" w:space="0" w:color="B1059D" w:themeColor="accent3"/>
          <w:bottom w:val="single" w:sz="18" w:space="0" w:color="B1059D" w:themeColor="accent3"/>
          <w:right w:val="single" w:sz="8" w:space="0" w:color="B1059D" w:themeColor="accent3"/>
          <w:insideH w:val="nil"/>
          <w:insideV w:val="single" w:sz="8" w:space="0" w:color="B1059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1059D" w:themeColor="accent3"/>
          <w:left w:val="single" w:sz="8" w:space="0" w:color="B1059D" w:themeColor="accent3"/>
          <w:bottom w:val="single" w:sz="8" w:space="0" w:color="B1059D" w:themeColor="accent3"/>
          <w:right w:val="single" w:sz="8" w:space="0" w:color="B1059D" w:themeColor="accent3"/>
          <w:insideH w:val="nil"/>
          <w:insideV w:val="single" w:sz="8" w:space="0" w:color="B1059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tblStylePr w:type="band1Vert">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shd w:val="clear" w:color="auto" w:fill="FCAFF3" w:themeFill="accent3" w:themeFillTint="3F"/>
      </w:tcPr>
    </w:tblStylePr>
    <w:tblStylePr w:type="band1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insideV w:val="single" w:sz="8" w:space="0" w:color="B1059D" w:themeColor="accent3"/>
        </w:tcBorders>
        <w:shd w:val="clear" w:color="auto" w:fill="FCAFF3" w:themeFill="accent3" w:themeFillTint="3F"/>
      </w:tcPr>
    </w:tblStylePr>
    <w:tblStylePr w:type="band2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insideV w:val="single" w:sz="8" w:space="0" w:color="B1059D" w:themeColor="accent3"/>
        </w:tcBorders>
      </w:tcPr>
    </w:tblStylePr>
  </w:style>
  <w:style w:type="table" w:styleId="LightGrid-Accent4">
    <w:name w:val="Light Grid Accent 4"/>
    <w:basedOn w:val="TableNormal"/>
    <w:uiPriority w:val="62"/>
    <w:rsid w:val="00DD5DC6"/>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insideH w:val="single" w:sz="8" w:space="0" w:color="006D55" w:themeColor="accent4"/>
        <w:insideV w:val="single" w:sz="8" w:space="0" w:color="006D5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D55" w:themeColor="accent4"/>
          <w:left w:val="single" w:sz="8" w:space="0" w:color="006D55" w:themeColor="accent4"/>
          <w:bottom w:val="single" w:sz="18" w:space="0" w:color="006D55" w:themeColor="accent4"/>
          <w:right w:val="single" w:sz="8" w:space="0" w:color="006D55" w:themeColor="accent4"/>
          <w:insideH w:val="nil"/>
          <w:insideV w:val="single" w:sz="8" w:space="0" w:color="006D5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D55" w:themeColor="accent4"/>
          <w:left w:val="single" w:sz="8" w:space="0" w:color="006D55" w:themeColor="accent4"/>
          <w:bottom w:val="single" w:sz="8" w:space="0" w:color="006D55" w:themeColor="accent4"/>
          <w:right w:val="single" w:sz="8" w:space="0" w:color="006D55" w:themeColor="accent4"/>
          <w:insideH w:val="nil"/>
          <w:insideV w:val="single" w:sz="8" w:space="0" w:color="006D5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tblStylePr w:type="band1Vert">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shd w:val="clear" w:color="auto" w:fill="9BFFE8" w:themeFill="accent4" w:themeFillTint="3F"/>
      </w:tcPr>
    </w:tblStylePr>
    <w:tblStylePr w:type="band1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insideV w:val="single" w:sz="8" w:space="0" w:color="006D55" w:themeColor="accent4"/>
        </w:tcBorders>
        <w:shd w:val="clear" w:color="auto" w:fill="9BFFE8" w:themeFill="accent4" w:themeFillTint="3F"/>
      </w:tcPr>
    </w:tblStylePr>
    <w:tblStylePr w:type="band2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insideV w:val="single" w:sz="8" w:space="0" w:color="006D55" w:themeColor="accent4"/>
        </w:tcBorders>
      </w:tcPr>
    </w:tblStylePr>
  </w:style>
  <w:style w:type="table" w:styleId="LightGrid-Accent5">
    <w:name w:val="Light Grid Accent 5"/>
    <w:basedOn w:val="TableNormal"/>
    <w:uiPriority w:val="62"/>
    <w:rsid w:val="00DD5DC6"/>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insideH w:val="single" w:sz="8" w:space="0" w:color="7AB800" w:themeColor="accent5"/>
        <w:insideV w:val="single" w:sz="8" w:space="0" w:color="7AB8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AB800" w:themeColor="accent5"/>
          <w:left w:val="single" w:sz="8" w:space="0" w:color="7AB800" w:themeColor="accent5"/>
          <w:bottom w:val="single" w:sz="18" w:space="0" w:color="7AB800" w:themeColor="accent5"/>
          <w:right w:val="single" w:sz="8" w:space="0" w:color="7AB800" w:themeColor="accent5"/>
          <w:insideH w:val="nil"/>
          <w:insideV w:val="single" w:sz="8" w:space="0" w:color="7AB8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AB800" w:themeColor="accent5"/>
          <w:left w:val="single" w:sz="8" w:space="0" w:color="7AB800" w:themeColor="accent5"/>
          <w:bottom w:val="single" w:sz="8" w:space="0" w:color="7AB800" w:themeColor="accent5"/>
          <w:right w:val="single" w:sz="8" w:space="0" w:color="7AB800" w:themeColor="accent5"/>
          <w:insideH w:val="nil"/>
          <w:insideV w:val="single" w:sz="8" w:space="0" w:color="7AB8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tblStylePr w:type="band1Vert">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shd w:val="clear" w:color="auto" w:fill="E3FFAE" w:themeFill="accent5" w:themeFillTint="3F"/>
      </w:tcPr>
    </w:tblStylePr>
    <w:tblStylePr w:type="band1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insideV w:val="single" w:sz="8" w:space="0" w:color="7AB800" w:themeColor="accent5"/>
        </w:tcBorders>
        <w:shd w:val="clear" w:color="auto" w:fill="E3FFAE" w:themeFill="accent5" w:themeFillTint="3F"/>
      </w:tcPr>
    </w:tblStylePr>
    <w:tblStylePr w:type="band2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insideV w:val="single" w:sz="8" w:space="0" w:color="7AB800" w:themeColor="accent5"/>
        </w:tcBorders>
      </w:tcPr>
    </w:tblStylePr>
  </w:style>
  <w:style w:type="table" w:styleId="LightGrid-Accent6">
    <w:name w:val="Light Grid Accent 6"/>
    <w:basedOn w:val="TableNormal"/>
    <w:uiPriority w:val="62"/>
    <w:rsid w:val="00DD5DC6"/>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insideH w:val="single" w:sz="8" w:space="0" w:color="FF7900" w:themeColor="accent6"/>
        <w:insideV w:val="single" w:sz="8" w:space="0" w:color="FF79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7900" w:themeColor="accent6"/>
          <w:left w:val="single" w:sz="8" w:space="0" w:color="FF7900" w:themeColor="accent6"/>
          <w:bottom w:val="single" w:sz="18" w:space="0" w:color="FF7900" w:themeColor="accent6"/>
          <w:right w:val="single" w:sz="8" w:space="0" w:color="FF7900" w:themeColor="accent6"/>
          <w:insideH w:val="nil"/>
          <w:insideV w:val="single" w:sz="8" w:space="0" w:color="FF79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7900" w:themeColor="accent6"/>
          <w:left w:val="single" w:sz="8" w:space="0" w:color="FF7900" w:themeColor="accent6"/>
          <w:bottom w:val="single" w:sz="8" w:space="0" w:color="FF7900" w:themeColor="accent6"/>
          <w:right w:val="single" w:sz="8" w:space="0" w:color="FF7900" w:themeColor="accent6"/>
          <w:insideH w:val="nil"/>
          <w:insideV w:val="single" w:sz="8" w:space="0" w:color="FF79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tblStylePr w:type="band1Vert">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shd w:val="clear" w:color="auto" w:fill="FFDDC0" w:themeFill="accent6" w:themeFillTint="3F"/>
      </w:tcPr>
    </w:tblStylePr>
    <w:tblStylePr w:type="band1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insideV w:val="single" w:sz="8" w:space="0" w:color="FF7900" w:themeColor="accent6"/>
        </w:tcBorders>
        <w:shd w:val="clear" w:color="auto" w:fill="FFDDC0" w:themeFill="accent6" w:themeFillTint="3F"/>
      </w:tcPr>
    </w:tblStylePr>
    <w:tblStylePr w:type="band2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insideV w:val="single" w:sz="8" w:space="0" w:color="FF7900" w:themeColor="accent6"/>
        </w:tcBorders>
      </w:tcPr>
    </w:tblStylePr>
  </w:style>
  <w:style w:type="table" w:styleId="LightList">
    <w:name w:val="Light List"/>
    <w:basedOn w:val="TableNormal"/>
    <w:uiPriority w:val="61"/>
    <w:rsid w:val="00DD5DC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DD5DC6"/>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tblBorders>
    </w:tblPr>
    <w:tblStylePr w:type="firstRow">
      <w:pPr>
        <w:spacing w:before="0" w:after="0" w:line="240" w:lineRule="auto"/>
      </w:pPr>
      <w:rPr>
        <w:b/>
        <w:bCs/>
        <w:color w:val="FFFFFF" w:themeColor="background1"/>
      </w:rPr>
      <w:tblPr/>
      <w:tcPr>
        <w:shd w:val="clear" w:color="auto" w:fill="4F2D7F" w:themeFill="accent1"/>
      </w:tcPr>
    </w:tblStylePr>
    <w:tblStylePr w:type="lastRow">
      <w:pPr>
        <w:spacing w:before="0" w:after="0" w:line="240" w:lineRule="auto"/>
      </w:pPr>
      <w:rPr>
        <w:b/>
        <w:bCs/>
      </w:rPr>
      <w:tblPr/>
      <w:tcPr>
        <w:tcBorders>
          <w:top w:val="double" w:sz="6" w:space="0" w:color="4F2D7F" w:themeColor="accent1"/>
          <w:left w:val="single" w:sz="8" w:space="0" w:color="4F2D7F" w:themeColor="accent1"/>
          <w:bottom w:val="single" w:sz="8" w:space="0" w:color="4F2D7F" w:themeColor="accent1"/>
          <w:right w:val="single" w:sz="8" w:space="0" w:color="4F2D7F" w:themeColor="accent1"/>
        </w:tcBorders>
      </w:tcPr>
    </w:tblStylePr>
    <w:tblStylePr w:type="firstCol">
      <w:rPr>
        <w:b/>
        <w:bCs/>
      </w:rPr>
    </w:tblStylePr>
    <w:tblStylePr w:type="lastCol">
      <w:rPr>
        <w:b/>
        <w:bCs/>
      </w:rPr>
    </w:tblStylePr>
    <w:tblStylePr w:type="band1Vert">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tblStylePr w:type="band1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style>
  <w:style w:type="table" w:styleId="LightList-Accent2">
    <w:name w:val="Light List Accent 2"/>
    <w:basedOn w:val="TableNormal"/>
    <w:uiPriority w:val="61"/>
    <w:rsid w:val="00DD5DC6"/>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tblBorders>
    </w:tblPr>
    <w:tblStylePr w:type="firstRow">
      <w:pPr>
        <w:spacing w:before="0" w:after="0" w:line="240" w:lineRule="auto"/>
      </w:pPr>
      <w:rPr>
        <w:b/>
        <w:bCs/>
        <w:color w:val="FFFFFF" w:themeColor="background1"/>
      </w:rPr>
      <w:tblPr/>
      <w:tcPr>
        <w:shd w:val="clear" w:color="auto" w:fill="C30045" w:themeFill="accent2"/>
      </w:tcPr>
    </w:tblStylePr>
    <w:tblStylePr w:type="lastRow">
      <w:pPr>
        <w:spacing w:before="0" w:after="0" w:line="240" w:lineRule="auto"/>
      </w:pPr>
      <w:rPr>
        <w:b/>
        <w:bCs/>
      </w:rPr>
      <w:tblPr/>
      <w:tcPr>
        <w:tcBorders>
          <w:top w:val="double" w:sz="6" w:space="0" w:color="C30045" w:themeColor="accent2"/>
          <w:left w:val="single" w:sz="8" w:space="0" w:color="C30045" w:themeColor="accent2"/>
          <w:bottom w:val="single" w:sz="8" w:space="0" w:color="C30045" w:themeColor="accent2"/>
          <w:right w:val="single" w:sz="8" w:space="0" w:color="C30045" w:themeColor="accent2"/>
        </w:tcBorders>
      </w:tcPr>
    </w:tblStylePr>
    <w:tblStylePr w:type="firstCol">
      <w:rPr>
        <w:b/>
        <w:bCs/>
      </w:rPr>
    </w:tblStylePr>
    <w:tblStylePr w:type="lastCol">
      <w:rPr>
        <w:b/>
        <w:bCs/>
      </w:rPr>
    </w:tblStylePr>
    <w:tblStylePr w:type="band1Vert">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tblStylePr w:type="band1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style>
  <w:style w:type="table" w:styleId="LightList-Accent3">
    <w:name w:val="Light List Accent 3"/>
    <w:basedOn w:val="TableNormal"/>
    <w:uiPriority w:val="61"/>
    <w:rsid w:val="00DD5DC6"/>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tblBorders>
    </w:tblPr>
    <w:tblStylePr w:type="firstRow">
      <w:pPr>
        <w:spacing w:before="0" w:after="0" w:line="240" w:lineRule="auto"/>
      </w:pPr>
      <w:rPr>
        <w:b/>
        <w:bCs/>
        <w:color w:val="FFFFFF" w:themeColor="background1"/>
      </w:rPr>
      <w:tblPr/>
      <w:tcPr>
        <w:shd w:val="clear" w:color="auto" w:fill="B1059D" w:themeFill="accent3"/>
      </w:tcPr>
    </w:tblStylePr>
    <w:tblStylePr w:type="lastRow">
      <w:pPr>
        <w:spacing w:before="0" w:after="0" w:line="240" w:lineRule="auto"/>
      </w:pPr>
      <w:rPr>
        <w:b/>
        <w:bCs/>
      </w:rPr>
      <w:tblPr/>
      <w:tcPr>
        <w:tcBorders>
          <w:top w:val="double" w:sz="6" w:space="0" w:color="B1059D" w:themeColor="accent3"/>
          <w:left w:val="single" w:sz="8" w:space="0" w:color="B1059D" w:themeColor="accent3"/>
          <w:bottom w:val="single" w:sz="8" w:space="0" w:color="B1059D" w:themeColor="accent3"/>
          <w:right w:val="single" w:sz="8" w:space="0" w:color="B1059D" w:themeColor="accent3"/>
        </w:tcBorders>
      </w:tcPr>
    </w:tblStylePr>
    <w:tblStylePr w:type="firstCol">
      <w:rPr>
        <w:b/>
        <w:bCs/>
      </w:rPr>
    </w:tblStylePr>
    <w:tblStylePr w:type="lastCol">
      <w:rPr>
        <w:b/>
        <w:bCs/>
      </w:rPr>
    </w:tblStylePr>
    <w:tblStylePr w:type="band1Vert">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tblStylePr w:type="band1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style>
  <w:style w:type="table" w:styleId="LightList-Accent4">
    <w:name w:val="Light List Accent 4"/>
    <w:basedOn w:val="TableNormal"/>
    <w:uiPriority w:val="61"/>
    <w:rsid w:val="00DD5DC6"/>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tblBorders>
    </w:tblPr>
    <w:tblStylePr w:type="firstRow">
      <w:pPr>
        <w:spacing w:before="0" w:after="0" w:line="240" w:lineRule="auto"/>
      </w:pPr>
      <w:rPr>
        <w:b/>
        <w:bCs/>
        <w:color w:val="FFFFFF" w:themeColor="background1"/>
      </w:rPr>
      <w:tblPr/>
      <w:tcPr>
        <w:shd w:val="clear" w:color="auto" w:fill="006D55" w:themeFill="accent4"/>
      </w:tcPr>
    </w:tblStylePr>
    <w:tblStylePr w:type="lastRow">
      <w:pPr>
        <w:spacing w:before="0" w:after="0" w:line="240" w:lineRule="auto"/>
      </w:pPr>
      <w:rPr>
        <w:b/>
        <w:bCs/>
      </w:rPr>
      <w:tblPr/>
      <w:tcPr>
        <w:tcBorders>
          <w:top w:val="double" w:sz="6" w:space="0" w:color="006D55" w:themeColor="accent4"/>
          <w:left w:val="single" w:sz="8" w:space="0" w:color="006D55" w:themeColor="accent4"/>
          <w:bottom w:val="single" w:sz="8" w:space="0" w:color="006D55" w:themeColor="accent4"/>
          <w:right w:val="single" w:sz="8" w:space="0" w:color="006D55" w:themeColor="accent4"/>
        </w:tcBorders>
      </w:tcPr>
    </w:tblStylePr>
    <w:tblStylePr w:type="firstCol">
      <w:rPr>
        <w:b/>
        <w:bCs/>
      </w:rPr>
    </w:tblStylePr>
    <w:tblStylePr w:type="lastCol">
      <w:rPr>
        <w:b/>
        <w:bCs/>
      </w:rPr>
    </w:tblStylePr>
    <w:tblStylePr w:type="band1Vert">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tblStylePr w:type="band1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style>
  <w:style w:type="table" w:styleId="LightList-Accent5">
    <w:name w:val="Light List Accent 5"/>
    <w:basedOn w:val="TableNormal"/>
    <w:uiPriority w:val="61"/>
    <w:rsid w:val="00DD5DC6"/>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tblBorders>
    </w:tblPr>
    <w:tblStylePr w:type="firstRow">
      <w:pPr>
        <w:spacing w:before="0" w:after="0" w:line="240" w:lineRule="auto"/>
      </w:pPr>
      <w:rPr>
        <w:b/>
        <w:bCs/>
        <w:color w:val="FFFFFF" w:themeColor="background1"/>
      </w:rPr>
      <w:tblPr/>
      <w:tcPr>
        <w:shd w:val="clear" w:color="auto" w:fill="7AB800" w:themeFill="accent5"/>
      </w:tcPr>
    </w:tblStylePr>
    <w:tblStylePr w:type="lastRow">
      <w:pPr>
        <w:spacing w:before="0" w:after="0" w:line="240" w:lineRule="auto"/>
      </w:pPr>
      <w:rPr>
        <w:b/>
        <w:bCs/>
      </w:rPr>
      <w:tblPr/>
      <w:tcPr>
        <w:tcBorders>
          <w:top w:val="double" w:sz="6" w:space="0" w:color="7AB800" w:themeColor="accent5"/>
          <w:left w:val="single" w:sz="8" w:space="0" w:color="7AB800" w:themeColor="accent5"/>
          <w:bottom w:val="single" w:sz="8" w:space="0" w:color="7AB800" w:themeColor="accent5"/>
          <w:right w:val="single" w:sz="8" w:space="0" w:color="7AB800" w:themeColor="accent5"/>
        </w:tcBorders>
      </w:tcPr>
    </w:tblStylePr>
    <w:tblStylePr w:type="firstCol">
      <w:rPr>
        <w:b/>
        <w:bCs/>
      </w:rPr>
    </w:tblStylePr>
    <w:tblStylePr w:type="lastCol">
      <w:rPr>
        <w:b/>
        <w:bCs/>
      </w:rPr>
    </w:tblStylePr>
    <w:tblStylePr w:type="band1Vert">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tblStylePr w:type="band1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style>
  <w:style w:type="table" w:styleId="LightList-Accent6">
    <w:name w:val="Light List Accent 6"/>
    <w:basedOn w:val="TableNormal"/>
    <w:uiPriority w:val="61"/>
    <w:rsid w:val="00DD5DC6"/>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tblBorders>
    </w:tblPr>
    <w:tblStylePr w:type="firstRow">
      <w:pPr>
        <w:spacing w:before="0" w:after="0" w:line="240" w:lineRule="auto"/>
      </w:pPr>
      <w:rPr>
        <w:b/>
        <w:bCs/>
        <w:color w:val="FFFFFF" w:themeColor="background1"/>
      </w:rPr>
      <w:tblPr/>
      <w:tcPr>
        <w:shd w:val="clear" w:color="auto" w:fill="FF7900" w:themeFill="accent6"/>
      </w:tcPr>
    </w:tblStylePr>
    <w:tblStylePr w:type="lastRow">
      <w:pPr>
        <w:spacing w:before="0" w:after="0" w:line="240" w:lineRule="auto"/>
      </w:pPr>
      <w:rPr>
        <w:b/>
        <w:bCs/>
      </w:rPr>
      <w:tblPr/>
      <w:tcPr>
        <w:tcBorders>
          <w:top w:val="double" w:sz="6" w:space="0" w:color="FF7900" w:themeColor="accent6"/>
          <w:left w:val="single" w:sz="8" w:space="0" w:color="FF7900" w:themeColor="accent6"/>
          <w:bottom w:val="single" w:sz="8" w:space="0" w:color="FF7900" w:themeColor="accent6"/>
          <w:right w:val="single" w:sz="8" w:space="0" w:color="FF7900" w:themeColor="accent6"/>
        </w:tcBorders>
      </w:tcPr>
    </w:tblStylePr>
    <w:tblStylePr w:type="firstCol">
      <w:rPr>
        <w:b/>
        <w:bCs/>
      </w:rPr>
    </w:tblStylePr>
    <w:tblStylePr w:type="lastCol">
      <w:rPr>
        <w:b/>
        <w:bCs/>
      </w:rPr>
    </w:tblStylePr>
    <w:tblStylePr w:type="band1Vert">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tblStylePr w:type="band1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style>
  <w:style w:type="table" w:styleId="LightShading">
    <w:name w:val="Light Shading"/>
    <w:basedOn w:val="TableNormal"/>
    <w:uiPriority w:val="60"/>
    <w:rsid w:val="00DD5DC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DD5DC6"/>
    <w:rPr>
      <w:color w:val="3A215E" w:themeColor="accent1" w:themeShade="BF"/>
    </w:rPr>
    <w:tblPr>
      <w:tblStyleRowBandSize w:val="1"/>
      <w:tblStyleColBandSize w:val="1"/>
      <w:tblBorders>
        <w:top w:val="single" w:sz="8" w:space="0" w:color="4F2D7F" w:themeColor="accent1"/>
        <w:bottom w:val="single" w:sz="8" w:space="0" w:color="4F2D7F" w:themeColor="accent1"/>
      </w:tblBorders>
    </w:tblPr>
    <w:tblStylePr w:type="firstRow">
      <w:pPr>
        <w:spacing w:before="0" w:after="0" w:line="240" w:lineRule="auto"/>
      </w:pPr>
      <w:rPr>
        <w:b/>
        <w:bCs/>
      </w:rPr>
      <w:tblPr/>
      <w:tcPr>
        <w:tcBorders>
          <w:top w:val="single" w:sz="8" w:space="0" w:color="4F2D7F" w:themeColor="accent1"/>
          <w:left w:val="nil"/>
          <w:bottom w:val="single" w:sz="8" w:space="0" w:color="4F2D7F" w:themeColor="accent1"/>
          <w:right w:val="nil"/>
          <w:insideH w:val="nil"/>
          <w:insideV w:val="nil"/>
        </w:tcBorders>
      </w:tcPr>
    </w:tblStylePr>
    <w:tblStylePr w:type="lastRow">
      <w:pPr>
        <w:spacing w:before="0" w:after="0" w:line="240" w:lineRule="auto"/>
      </w:pPr>
      <w:rPr>
        <w:b/>
        <w:bCs/>
      </w:rPr>
      <w:tblPr/>
      <w:tcPr>
        <w:tcBorders>
          <w:top w:val="single" w:sz="8" w:space="0" w:color="4F2D7F" w:themeColor="accent1"/>
          <w:left w:val="nil"/>
          <w:bottom w:val="single" w:sz="8" w:space="0" w:color="4F2D7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C1E9" w:themeFill="accent1" w:themeFillTint="3F"/>
      </w:tcPr>
    </w:tblStylePr>
    <w:tblStylePr w:type="band1Horz">
      <w:tblPr/>
      <w:tcPr>
        <w:tcBorders>
          <w:left w:val="nil"/>
          <w:right w:val="nil"/>
          <w:insideH w:val="nil"/>
          <w:insideV w:val="nil"/>
        </w:tcBorders>
        <w:shd w:val="clear" w:color="auto" w:fill="D1C1E9" w:themeFill="accent1" w:themeFillTint="3F"/>
      </w:tcPr>
    </w:tblStylePr>
  </w:style>
  <w:style w:type="table" w:styleId="LightShading-Accent2">
    <w:name w:val="Light Shading Accent 2"/>
    <w:basedOn w:val="TableNormal"/>
    <w:uiPriority w:val="60"/>
    <w:rsid w:val="00DD5DC6"/>
    <w:rPr>
      <w:color w:val="920033" w:themeColor="accent2" w:themeShade="BF"/>
    </w:rPr>
    <w:tblPr>
      <w:tblStyleRowBandSize w:val="1"/>
      <w:tblStyleColBandSize w:val="1"/>
      <w:tblBorders>
        <w:top w:val="single" w:sz="8" w:space="0" w:color="C30045" w:themeColor="accent2"/>
        <w:bottom w:val="single" w:sz="8" w:space="0" w:color="C30045" w:themeColor="accent2"/>
      </w:tblBorders>
    </w:tblPr>
    <w:tblStylePr w:type="firstRow">
      <w:pPr>
        <w:spacing w:before="0" w:after="0" w:line="240" w:lineRule="auto"/>
      </w:pPr>
      <w:rPr>
        <w:b/>
        <w:bCs/>
      </w:rPr>
      <w:tblPr/>
      <w:tcPr>
        <w:tcBorders>
          <w:top w:val="single" w:sz="8" w:space="0" w:color="C30045" w:themeColor="accent2"/>
          <w:left w:val="nil"/>
          <w:bottom w:val="single" w:sz="8" w:space="0" w:color="C30045" w:themeColor="accent2"/>
          <w:right w:val="nil"/>
          <w:insideH w:val="nil"/>
          <w:insideV w:val="nil"/>
        </w:tcBorders>
      </w:tcPr>
    </w:tblStylePr>
    <w:tblStylePr w:type="lastRow">
      <w:pPr>
        <w:spacing w:before="0" w:after="0" w:line="240" w:lineRule="auto"/>
      </w:pPr>
      <w:rPr>
        <w:b/>
        <w:bCs/>
      </w:rPr>
      <w:tblPr/>
      <w:tcPr>
        <w:tcBorders>
          <w:top w:val="single" w:sz="8" w:space="0" w:color="C30045" w:themeColor="accent2"/>
          <w:left w:val="nil"/>
          <w:bottom w:val="single" w:sz="8" w:space="0" w:color="C30045"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1CC" w:themeFill="accent2" w:themeFillTint="3F"/>
      </w:tcPr>
    </w:tblStylePr>
    <w:tblStylePr w:type="band1Horz">
      <w:tblPr/>
      <w:tcPr>
        <w:tcBorders>
          <w:left w:val="nil"/>
          <w:right w:val="nil"/>
          <w:insideH w:val="nil"/>
          <w:insideV w:val="nil"/>
        </w:tcBorders>
        <w:shd w:val="clear" w:color="auto" w:fill="FFB1CC" w:themeFill="accent2" w:themeFillTint="3F"/>
      </w:tcPr>
    </w:tblStylePr>
  </w:style>
  <w:style w:type="table" w:styleId="LightShading-Accent3">
    <w:name w:val="Light Shading Accent 3"/>
    <w:basedOn w:val="TableNormal"/>
    <w:uiPriority w:val="60"/>
    <w:rsid w:val="00DD5DC6"/>
    <w:rPr>
      <w:color w:val="840375" w:themeColor="accent3" w:themeShade="BF"/>
    </w:rPr>
    <w:tblPr>
      <w:tblStyleRowBandSize w:val="1"/>
      <w:tblStyleColBandSize w:val="1"/>
      <w:tblBorders>
        <w:top w:val="single" w:sz="8" w:space="0" w:color="B1059D" w:themeColor="accent3"/>
        <w:bottom w:val="single" w:sz="8" w:space="0" w:color="B1059D" w:themeColor="accent3"/>
      </w:tblBorders>
    </w:tblPr>
    <w:tblStylePr w:type="firstRow">
      <w:pPr>
        <w:spacing w:before="0" w:after="0" w:line="240" w:lineRule="auto"/>
      </w:pPr>
      <w:rPr>
        <w:b/>
        <w:bCs/>
      </w:rPr>
      <w:tblPr/>
      <w:tcPr>
        <w:tcBorders>
          <w:top w:val="single" w:sz="8" w:space="0" w:color="B1059D" w:themeColor="accent3"/>
          <w:left w:val="nil"/>
          <w:bottom w:val="single" w:sz="8" w:space="0" w:color="B1059D" w:themeColor="accent3"/>
          <w:right w:val="nil"/>
          <w:insideH w:val="nil"/>
          <w:insideV w:val="nil"/>
        </w:tcBorders>
      </w:tcPr>
    </w:tblStylePr>
    <w:tblStylePr w:type="lastRow">
      <w:pPr>
        <w:spacing w:before="0" w:after="0" w:line="240" w:lineRule="auto"/>
      </w:pPr>
      <w:rPr>
        <w:b/>
        <w:bCs/>
      </w:rPr>
      <w:tblPr/>
      <w:tcPr>
        <w:tcBorders>
          <w:top w:val="single" w:sz="8" w:space="0" w:color="B1059D" w:themeColor="accent3"/>
          <w:left w:val="nil"/>
          <w:bottom w:val="single" w:sz="8" w:space="0" w:color="B1059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AFF3" w:themeFill="accent3" w:themeFillTint="3F"/>
      </w:tcPr>
    </w:tblStylePr>
    <w:tblStylePr w:type="band1Horz">
      <w:tblPr/>
      <w:tcPr>
        <w:tcBorders>
          <w:left w:val="nil"/>
          <w:right w:val="nil"/>
          <w:insideH w:val="nil"/>
          <w:insideV w:val="nil"/>
        </w:tcBorders>
        <w:shd w:val="clear" w:color="auto" w:fill="FCAFF3" w:themeFill="accent3" w:themeFillTint="3F"/>
      </w:tcPr>
    </w:tblStylePr>
  </w:style>
  <w:style w:type="table" w:styleId="LightShading-Accent4">
    <w:name w:val="Light Shading Accent 4"/>
    <w:basedOn w:val="TableNormal"/>
    <w:uiPriority w:val="60"/>
    <w:rsid w:val="00DD5DC6"/>
    <w:rPr>
      <w:color w:val="00513F" w:themeColor="accent4" w:themeShade="BF"/>
    </w:rPr>
    <w:tblPr>
      <w:tblStyleRowBandSize w:val="1"/>
      <w:tblStyleColBandSize w:val="1"/>
      <w:tblBorders>
        <w:top w:val="single" w:sz="8" w:space="0" w:color="006D55" w:themeColor="accent4"/>
        <w:bottom w:val="single" w:sz="8" w:space="0" w:color="006D55" w:themeColor="accent4"/>
      </w:tblBorders>
    </w:tblPr>
    <w:tblStylePr w:type="firstRow">
      <w:pPr>
        <w:spacing w:before="0" w:after="0" w:line="240" w:lineRule="auto"/>
      </w:pPr>
      <w:rPr>
        <w:b/>
        <w:bCs/>
      </w:rPr>
      <w:tblPr/>
      <w:tcPr>
        <w:tcBorders>
          <w:top w:val="single" w:sz="8" w:space="0" w:color="006D55" w:themeColor="accent4"/>
          <w:left w:val="nil"/>
          <w:bottom w:val="single" w:sz="8" w:space="0" w:color="006D55" w:themeColor="accent4"/>
          <w:right w:val="nil"/>
          <w:insideH w:val="nil"/>
          <w:insideV w:val="nil"/>
        </w:tcBorders>
      </w:tcPr>
    </w:tblStylePr>
    <w:tblStylePr w:type="lastRow">
      <w:pPr>
        <w:spacing w:before="0" w:after="0" w:line="240" w:lineRule="auto"/>
      </w:pPr>
      <w:rPr>
        <w:b/>
        <w:bCs/>
      </w:rPr>
      <w:tblPr/>
      <w:tcPr>
        <w:tcBorders>
          <w:top w:val="single" w:sz="8" w:space="0" w:color="006D55" w:themeColor="accent4"/>
          <w:left w:val="nil"/>
          <w:bottom w:val="single" w:sz="8" w:space="0" w:color="006D5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BFFE8" w:themeFill="accent4" w:themeFillTint="3F"/>
      </w:tcPr>
    </w:tblStylePr>
    <w:tblStylePr w:type="band1Horz">
      <w:tblPr/>
      <w:tcPr>
        <w:tcBorders>
          <w:left w:val="nil"/>
          <w:right w:val="nil"/>
          <w:insideH w:val="nil"/>
          <w:insideV w:val="nil"/>
        </w:tcBorders>
        <w:shd w:val="clear" w:color="auto" w:fill="9BFFE8" w:themeFill="accent4" w:themeFillTint="3F"/>
      </w:tcPr>
    </w:tblStylePr>
  </w:style>
  <w:style w:type="table" w:styleId="LightShading-Accent5">
    <w:name w:val="Light Shading Accent 5"/>
    <w:basedOn w:val="TableNormal"/>
    <w:uiPriority w:val="60"/>
    <w:rsid w:val="00DD5DC6"/>
    <w:rPr>
      <w:color w:val="5B8900" w:themeColor="accent5" w:themeShade="BF"/>
    </w:rPr>
    <w:tblPr>
      <w:tblStyleRowBandSize w:val="1"/>
      <w:tblStyleColBandSize w:val="1"/>
      <w:tblBorders>
        <w:top w:val="single" w:sz="8" w:space="0" w:color="7AB800" w:themeColor="accent5"/>
        <w:bottom w:val="single" w:sz="8" w:space="0" w:color="7AB800" w:themeColor="accent5"/>
      </w:tblBorders>
    </w:tblPr>
    <w:tblStylePr w:type="firstRow">
      <w:pPr>
        <w:spacing w:before="0" w:after="0" w:line="240" w:lineRule="auto"/>
      </w:pPr>
      <w:rPr>
        <w:b/>
        <w:bCs/>
      </w:rPr>
      <w:tblPr/>
      <w:tcPr>
        <w:tcBorders>
          <w:top w:val="single" w:sz="8" w:space="0" w:color="7AB800" w:themeColor="accent5"/>
          <w:left w:val="nil"/>
          <w:bottom w:val="single" w:sz="8" w:space="0" w:color="7AB800" w:themeColor="accent5"/>
          <w:right w:val="nil"/>
          <w:insideH w:val="nil"/>
          <w:insideV w:val="nil"/>
        </w:tcBorders>
      </w:tcPr>
    </w:tblStylePr>
    <w:tblStylePr w:type="lastRow">
      <w:pPr>
        <w:spacing w:before="0" w:after="0" w:line="240" w:lineRule="auto"/>
      </w:pPr>
      <w:rPr>
        <w:b/>
        <w:bCs/>
      </w:rPr>
      <w:tblPr/>
      <w:tcPr>
        <w:tcBorders>
          <w:top w:val="single" w:sz="8" w:space="0" w:color="7AB800" w:themeColor="accent5"/>
          <w:left w:val="nil"/>
          <w:bottom w:val="single" w:sz="8" w:space="0" w:color="7AB8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FAE" w:themeFill="accent5" w:themeFillTint="3F"/>
      </w:tcPr>
    </w:tblStylePr>
    <w:tblStylePr w:type="band1Horz">
      <w:tblPr/>
      <w:tcPr>
        <w:tcBorders>
          <w:left w:val="nil"/>
          <w:right w:val="nil"/>
          <w:insideH w:val="nil"/>
          <w:insideV w:val="nil"/>
        </w:tcBorders>
        <w:shd w:val="clear" w:color="auto" w:fill="E3FFAE" w:themeFill="accent5" w:themeFillTint="3F"/>
      </w:tcPr>
    </w:tblStylePr>
  </w:style>
  <w:style w:type="table" w:styleId="LightShading-Accent6">
    <w:name w:val="Light Shading Accent 6"/>
    <w:basedOn w:val="TableNormal"/>
    <w:uiPriority w:val="60"/>
    <w:rsid w:val="00DD5DC6"/>
    <w:rPr>
      <w:color w:val="BF5A00" w:themeColor="accent6" w:themeShade="BF"/>
    </w:rPr>
    <w:tblPr>
      <w:tblStyleRowBandSize w:val="1"/>
      <w:tblStyleColBandSize w:val="1"/>
      <w:tblBorders>
        <w:top w:val="single" w:sz="8" w:space="0" w:color="FF7900" w:themeColor="accent6"/>
        <w:bottom w:val="single" w:sz="8" w:space="0" w:color="FF7900" w:themeColor="accent6"/>
      </w:tblBorders>
    </w:tblPr>
    <w:tblStylePr w:type="firstRow">
      <w:pPr>
        <w:spacing w:before="0" w:after="0" w:line="240" w:lineRule="auto"/>
      </w:pPr>
      <w:rPr>
        <w:b/>
        <w:bCs/>
      </w:rPr>
      <w:tblPr/>
      <w:tcPr>
        <w:tcBorders>
          <w:top w:val="single" w:sz="8" w:space="0" w:color="FF7900" w:themeColor="accent6"/>
          <w:left w:val="nil"/>
          <w:bottom w:val="single" w:sz="8" w:space="0" w:color="FF7900" w:themeColor="accent6"/>
          <w:right w:val="nil"/>
          <w:insideH w:val="nil"/>
          <w:insideV w:val="nil"/>
        </w:tcBorders>
      </w:tcPr>
    </w:tblStylePr>
    <w:tblStylePr w:type="lastRow">
      <w:pPr>
        <w:spacing w:before="0" w:after="0" w:line="240" w:lineRule="auto"/>
      </w:pPr>
      <w:rPr>
        <w:b/>
        <w:bCs/>
      </w:rPr>
      <w:tblPr/>
      <w:tcPr>
        <w:tcBorders>
          <w:top w:val="single" w:sz="8" w:space="0" w:color="FF7900" w:themeColor="accent6"/>
          <w:left w:val="nil"/>
          <w:bottom w:val="single" w:sz="8" w:space="0" w:color="FF79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DC0" w:themeFill="accent6" w:themeFillTint="3F"/>
      </w:tcPr>
    </w:tblStylePr>
    <w:tblStylePr w:type="band1Horz">
      <w:tblPr/>
      <w:tcPr>
        <w:tcBorders>
          <w:left w:val="nil"/>
          <w:right w:val="nil"/>
          <w:insideH w:val="nil"/>
          <w:insideV w:val="nil"/>
        </w:tcBorders>
        <w:shd w:val="clear" w:color="auto" w:fill="FFDDC0" w:themeFill="accent6" w:themeFillTint="3F"/>
      </w:tcPr>
    </w:tblStylePr>
  </w:style>
  <w:style w:type="character" w:styleId="LineNumber">
    <w:name w:val="line number"/>
    <w:basedOn w:val="DefaultParagraphFont"/>
    <w:rsid w:val="00DD5DC6"/>
    <w:rPr>
      <w:lang w:val="en-US"/>
    </w:rPr>
  </w:style>
  <w:style w:type="paragraph" w:styleId="List">
    <w:name w:val="List"/>
    <w:basedOn w:val="Normal"/>
    <w:rsid w:val="00DD5DC6"/>
    <w:pPr>
      <w:ind w:left="360" w:hanging="360"/>
      <w:contextualSpacing/>
    </w:pPr>
  </w:style>
  <w:style w:type="paragraph" w:styleId="List2">
    <w:name w:val="List 2"/>
    <w:basedOn w:val="Normal"/>
    <w:rsid w:val="00DD5DC6"/>
    <w:pPr>
      <w:ind w:left="720" w:hanging="360"/>
      <w:contextualSpacing/>
    </w:pPr>
  </w:style>
  <w:style w:type="paragraph" w:styleId="List3">
    <w:name w:val="List 3"/>
    <w:basedOn w:val="Normal"/>
    <w:rsid w:val="00DD5DC6"/>
    <w:pPr>
      <w:ind w:left="1080" w:hanging="360"/>
      <w:contextualSpacing/>
    </w:pPr>
  </w:style>
  <w:style w:type="paragraph" w:styleId="List4">
    <w:name w:val="List 4"/>
    <w:basedOn w:val="Normal"/>
    <w:rsid w:val="00DD5DC6"/>
    <w:pPr>
      <w:ind w:left="1440" w:hanging="360"/>
      <w:contextualSpacing/>
    </w:pPr>
  </w:style>
  <w:style w:type="paragraph" w:styleId="List5">
    <w:name w:val="List 5"/>
    <w:basedOn w:val="Normal"/>
    <w:rsid w:val="00DD5DC6"/>
    <w:pPr>
      <w:ind w:left="1800" w:hanging="360"/>
      <w:contextualSpacing/>
    </w:pPr>
  </w:style>
  <w:style w:type="paragraph" w:styleId="ListBullet3">
    <w:name w:val="List Bullet 3"/>
    <w:basedOn w:val="Normal"/>
    <w:rsid w:val="00DD5DC6"/>
    <w:pPr>
      <w:numPr>
        <w:numId w:val="1"/>
      </w:numPr>
      <w:contextualSpacing/>
    </w:pPr>
  </w:style>
  <w:style w:type="paragraph" w:styleId="ListBullet4">
    <w:name w:val="List Bullet 4"/>
    <w:basedOn w:val="Normal"/>
    <w:rsid w:val="00DD5DC6"/>
    <w:pPr>
      <w:numPr>
        <w:numId w:val="4"/>
      </w:numPr>
      <w:contextualSpacing/>
    </w:pPr>
  </w:style>
  <w:style w:type="paragraph" w:styleId="ListBullet5">
    <w:name w:val="List Bullet 5"/>
    <w:basedOn w:val="Normal"/>
    <w:rsid w:val="00DD5DC6"/>
    <w:pPr>
      <w:numPr>
        <w:numId w:val="5"/>
      </w:numPr>
      <w:contextualSpacing/>
    </w:pPr>
  </w:style>
  <w:style w:type="paragraph" w:styleId="ListContinue">
    <w:name w:val="List Continue"/>
    <w:basedOn w:val="Normal"/>
    <w:rsid w:val="00DD5DC6"/>
    <w:pPr>
      <w:spacing w:after="120"/>
      <w:ind w:left="360"/>
      <w:contextualSpacing/>
    </w:pPr>
  </w:style>
  <w:style w:type="paragraph" w:styleId="ListContinue2">
    <w:name w:val="List Continue 2"/>
    <w:basedOn w:val="Normal"/>
    <w:rsid w:val="00DD5DC6"/>
    <w:pPr>
      <w:spacing w:after="120"/>
      <w:ind w:left="720"/>
      <w:contextualSpacing/>
    </w:pPr>
  </w:style>
  <w:style w:type="paragraph" w:styleId="ListContinue3">
    <w:name w:val="List Continue 3"/>
    <w:basedOn w:val="Normal"/>
    <w:rsid w:val="00DD5DC6"/>
    <w:pPr>
      <w:spacing w:after="120"/>
      <w:ind w:left="1080"/>
      <w:contextualSpacing/>
    </w:pPr>
  </w:style>
  <w:style w:type="paragraph" w:styleId="ListContinue4">
    <w:name w:val="List Continue 4"/>
    <w:basedOn w:val="Normal"/>
    <w:rsid w:val="00DD5DC6"/>
    <w:pPr>
      <w:spacing w:after="120"/>
      <w:ind w:left="1440"/>
      <w:contextualSpacing/>
    </w:pPr>
  </w:style>
  <w:style w:type="paragraph" w:styleId="ListContinue5">
    <w:name w:val="List Continue 5"/>
    <w:basedOn w:val="Normal"/>
    <w:rsid w:val="00DD5DC6"/>
    <w:pPr>
      <w:spacing w:after="120"/>
      <w:ind w:left="1800"/>
      <w:contextualSpacing/>
    </w:pPr>
  </w:style>
  <w:style w:type="paragraph" w:styleId="ListNumber4">
    <w:name w:val="List Number 4"/>
    <w:basedOn w:val="Normal"/>
    <w:rsid w:val="00DD5DC6"/>
    <w:pPr>
      <w:numPr>
        <w:numId w:val="6"/>
      </w:numPr>
      <w:contextualSpacing/>
    </w:pPr>
  </w:style>
  <w:style w:type="paragraph" w:styleId="ListNumber5">
    <w:name w:val="List Number 5"/>
    <w:basedOn w:val="Normal"/>
    <w:rsid w:val="00DD5DC6"/>
    <w:pPr>
      <w:numPr>
        <w:numId w:val="7"/>
      </w:numPr>
      <w:contextualSpacing/>
    </w:pPr>
  </w:style>
  <w:style w:type="paragraph" w:styleId="ListParagraph">
    <w:name w:val="List Paragraph"/>
    <w:basedOn w:val="Normal"/>
    <w:uiPriority w:val="34"/>
    <w:qFormat/>
    <w:rsid w:val="00DD5DC6"/>
    <w:pPr>
      <w:ind w:left="720"/>
      <w:contextualSpacing/>
    </w:pPr>
  </w:style>
  <w:style w:type="table" w:styleId="MediumGrid1">
    <w:name w:val="Medium Grid 1"/>
    <w:basedOn w:val="TableNormal"/>
    <w:uiPriority w:val="67"/>
    <w:rsid w:val="00DD5DC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DD5DC6"/>
    <w:tblPr>
      <w:tblStyleRowBandSize w:val="1"/>
      <w:tblStyleColBandSize w:val="1"/>
      <w:tbl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single" w:sz="8" w:space="0" w:color="7543BC" w:themeColor="accent1" w:themeTint="BF"/>
        <w:insideV w:val="single" w:sz="8" w:space="0" w:color="7543BC" w:themeColor="accent1" w:themeTint="BF"/>
      </w:tblBorders>
    </w:tblPr>
    <w:tcPr>
      <w:shd w:val="clear" w:color="auto" w:fill="D1C1E9" w:themeFill="accent1" w:themeFillTint="3F"/>
    </w:tcPr>
    <w:tblStylePr w:type="firstRow">
      <w:rPr>
        <w:b/>
        <w:bCs/>
      </w:rPr>
    </w:tblStylePr>
    <w:tblStylePr w:type="lastRow">
      <w:rPr>
        <w:b/>
        <w:bCs/>
      </w:rPr>
      <w:tblPr/>
      <w:tcPr>
        <w:tcBorders>
          <w:top w:val="single" w:sz="18" w:space="0" w:color="7543BC" w:themeColor="accent1" w:themeTint="BF"/>
        </w:tcBorders>
      </w:tcPr>
    </w:tblStylePr>
    <w:tblStylePr w:type="firstCol">
      <w:rPr>
        <w:b/>
        <w:bCs/>
      </w:rPr>
    </w:tblStylePr>
    <w:tblStylePr w:type="lastCol">
      <w:rPr>
        <w:b/>
        <w:bCs/>
      </w:rPr>
    </w:tblStylePr>
    <w:tblStylePr w:type="band1Vert">
      <w:tblPr/>
      <w:tcPr>
        <w:shd w:val="clear" w:color="auto" w:fill="A382D3" w:themeFill="accent1" w:themeFillTint="7F"/>
      </w:tcPr>
    </w:tblStylePr>
    <w:tblStylePr w:type="band1Horz">
      <w:tblPr/>
      <w:tcPr>
        <w:shd w:val="clear" w:color="auto" w:fill="A382D3" w:themeFill="accent1" w:themeFillTint="7F"/>
      </w:tcPr>
    </w:tblStylePr>
  </w:style>
  <w:style w:type="table" w:styleId="MediumGrid1-Accent2">
    <w:name w:val="Medium Grid 1 Accent 2"/>
    <w:basedOn w:val="TableNormal"/>
    <w:uiPriority w:val="67"/>
    <w:rsid w:val="00DD5DC6"/>
    <w:tblPr>
      <w:tblStyleRowBandSize w:val="1"/>
      <w:tblStyleColBandSize w:val="1"/>
      <w:tbl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single" w:sz="8" w:space="0" w:color="FF1366" w:themeColor="accent2" w:themeTint="BF"/>
        <w:insideV w:val="single" w:sz="8" w:space="0" w:color="FF1366" w:themeColor="accent2" w:themeTint="BF"/>
      </w:tblBorders>
    </w:tblPr>
    <w:tcPr>
      <w:shd w:val="clear" w:color="auto" w:fill="FFB1CC" w:themeFill="accent2" w:themeFillTint="3F"/>
    </w:tcPr>
    <w:tblStylePr w:type="firstRow">
      <w:rPr>
        <w:b/>
        <w:bCs/>
      </w:rPr>
    </w:tblStylePr>
    <w:tblStylePr w:type="lastRow">
      <w:rPr>
        <w:b/>
        <w:bCs/>
      </w:rPr>
      <w:tblPr/>
      <w:tcPr>
        <w:tcBorders>
          <w:top w:val="single" w:sz="18" w:space="0" w:color="FF1366" w:themeColor="accent2" w:themeTint="BF"/>
        </w:tcBorders>
      </w:tcPr>
    </w:tblStylePr>
    <w:tblStylePr w:type="firstCol">
      <w:rPr>
        <w:b/>
        <w:bCs/>
      </w:rPr>
    </w:tblStylePr>
    <w:tblStylePr w:type="lastCol">
      <w:rPr>
        <w:b/>
        <w:bCs/>
      </w:rPr>
    </w:tblStylePr>
    <w:tblStylePr w:type="band1Vert">
      <w:tblPr/>
      <w:tcPr>
        <w:shd w:val="clear" w:color="auto" w:fill="FF6299" w:themeFill="accent2" w:themeFillTint="7F"/>
      </w:tcPr>
    </w:tblStylePr>
    <w:tblStylePr w:type="band1Horz">
      <w:tblPr/>
      <w:tcPr>
        <w:shd w:val="clear" w:color="auto" w:fill="FF6299" w:themeFill="accent2" w:themeFillTint="7F"/>
      </w:tcPr>
    </w:tblStylePr>
  </w:style>
  <w:style w:type="table" w:styleId="MediumGrid1-Accent3">
    <w:name w:val="Medium Grid 1 Accent 3"/>
    <w:basedOn w:val="TableNormal"/>
    <w:uiPriority w:val="67"/>
    <w:rsid w:val="00DD5DC6"/>
    <w:tblPr>
      <w:tblStyleRowBandSize w:val="1"/>
      <w:tblStyleColBandSize w:val="1"/>
      <w:tbl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single" w:sz="8" w:space="0" w:color="F80FDC" w:themeColor="accent3" w:themeTint="BF"/>
        <w:insideV w:val="single" w:sz="8" w:space="0" w:color="F80FDC" w:themeColor="accent3" w:themeTint="BF"/>
      </w:tblBorders>
    </w:tblPr>
    <w:tcPr>
      <w:shd w:val="clear" w:color="auto" w:fill="FCAFF3" w:themeFill="accent3" w:themeFillTint="3F"/>
    </w:tcPr>
    <w:tblStylePr w:type="firstRow">
      <w:rPr>
        <w:b/>
        <w:bCs/>
      </w:rPr>
    </w:tblStylePr>
    <w:tblStylePr w:type="lastRow">
      <w:rPr>
        <w:b/>
        <w:bCs/>
      </w:rPr>
      <w:tblPr/>
      <w:tcPr>
        <w:tcBorders>
          <w:top w:val="single" w:sz="18" w:space="0" w:color="F80FDC" w:themeColor="accent3" w:themeTint="BF"/>
        </w:tcBorders>
      </w:tcPr>
    </w:tblStylePr>
    <w:tblStylePr w:type="firstCol">
      <w:rPr>
        <w:b/>
        <w:bCs/>
      </w:rPr>
    </w:tblStylePr>
    <w:tblStylePr w:type="lastCol">
      <w:rPr>
        <w:b/>
        <w:bCs/>
      </w:rPr>
    </w:tblStylePr>
    <w:tblStylePr w:type="band1Vert">
      <w:tblPr/>
      <w:tcPr>
        <w:shd w:val="clear" w:color="auto" w:fill="FA5FE8" w:themeFill="accent3" w:themeFillTint="7F"/>
      </w:tcPr>
    </w:tblStylePr>
    <w:tblStylePr w:type="band1Horz">
      <w:tblPr/>
      <w:tcPr>
        <w:shd w:val="clear" w:color="auto" w:fill="FA5FE8" w:themeFill="accent3" w:themeFillTint="7F"/>
      </w:tcPr>
    </w:tblStylePr>
  </w:style>
  <w:style w:type="table" w:styleId="MediumGrid1-Accent4">
    <w:name w:val="Medium Grid 1 Accent 4"/>
    <w:basedOn w:val="TableNormal"/>
    <w:uiPriority w:val="67"/>
    <w:rsid w:val="00DD5DC6"/>
    <w:tblPr>
      <w:tblStyleRowBandSize w:val="1"/>
      <w:tblStyleColBandSize w:val="1"/>
      <w:tbl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single" w:sz="8" w:space="0" w:color="00D1A2" w:themeColor="accent4" w:themeTint="BF"/>
        <w:insideV w:val="single" w:sz="8" w:space="0" w:color="00D1A2" w:themeColor="accent4" w:themeTint="BF"/>
      </w:tblBorders>
    </w:tblPr>
    <w:tcPr>
      <w:shd w:val="clear" w:color="auto" w:fill="9BFFE8" w:themeFill="accent4" w:themeFillTint="3F"/>
    </w:tcPr>
    <w:tblStylePr w:type="firstRow">
      <w:rPr>
        <w:b/>
        <w:bCs/>
      </w:rPr>
    </w:tblStylePr>
    <w:tblStylePr w:type="lastRow">
      <w:rPr>
        <w:b/>
        <w:bCs/>
      </w:rPr>
      <w:tblPr/>
      <w:tcPr>
        <w:tcBorders>
          <w:top w:val="single" w:sz="18" w:space="0" w:color="00D1A2" w:themeColor="accent4" w:themeTint="BF"/>
        </w:tcBorders>
      </w:tcPr>
    </w:tblStylePr>
    <w:tblStylePr w:type="firstCol">
      <w:rPr>
        <w:b/>
        <w:bCs/>
      </w:rPr>
    </w:tblStylePr>
    <w:tblStylePr w:type="lastCol">
      <w:rPr>
        <w:b/>
        <w:bCs/>
      </w:rPr>
    </w:tblStylePr>
    <w:tblStylePr w:type="band1Vert">
      <w:tblPr/>
      <w:tcPr>
        <w:shd w:val="clear" w:color="auto" w:fill="37FFD2" w:themeFill="accent4" w:themeFillTint="7F"/>
      </w:tcPr>
    </w:tblStylePr>
    <w:tblStylePr w:type="band1Horz">
      <w:tblPr/>
      <w:tcPr>
        <w:shd w:val="clear" w:color="auto" w:fill="37FFD2" w:themeFill="accent4" w:themeFillTint="7F"/>
      </w:tcPr>
    </w:tblStylePr>
  </w:style>
  <w:style w:type="table" w:styleId="MediumGrid1-Accent5">
    <w:name w:val="Medium Grid 1 Accent 5"/>
    <w:basedOn w:val="TableNormal"/>
    <w:uiPriority w:val="67"/>
    <w:rsid w:val="00DD5DC6"/>
    <w:tblPr>
      <w:tblStyleRowBandSize w:val="1"/>
      <w:tblStyleColBandSize w:val="1"/>
      <w:tbl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single" w:sz="8" w:space="0" w:color="ACFF0A" w:themeColor="accent5" w:themeTint="BF"/>
        <w:insideV w:val="single" w:sz="8" w:space="0" w:color="ACFF0A" w:themeColor="accent5" w:themeTint="BF"/>
      </w:tblBorders>
    </w:tblPr>
    <w:tcPr>
      <w:shd w:val="clear" w:color="auto" w:fill="E3FFAE" w:themeFill="accent5" w:themeFillTint="3F"/>
    </w:tcPr>
    <w:tblStylePr w:type="firstRow">
      <w:rPr>
        <w:b/>
        <w:bCs/>
      </w:rPr>
    </w:tblStylePr>
    <w:tblStylePr w:type="lastRow">
      <w:rPr>
        <w:b/>
        <w:bCs/>
      </w:rPr>
      <w:tblPr/>
      <w:tcPr>
        <w:tcBorders>
          <w:top w:val="single" w:sz="18" w:space="0" w:color="ACFF0A" w:themeColor="accent5" w:themeTint="BF"/>
        </w:tcBorders>
      </w:tcPr>
    </w:tblStylePr>
    <w:tblStylePr w:type="firstCol">
      <w:rPr>
        <w:b/>
        <w:bCs/>
      </w:rPr>
    </w:tblStylePr>
    <w:tblStylePr w:type="lastCol">
      <w:rPr>
        <w:b/>
        <w:bCs/>
      </w:rPr>
    </w:tblStylePr>
    <w:tblStylePr w:type="band1Vert">
      <w:tblPr/>
      <w:tcPr>
        <w:shd w:val="clear" w:color="auto" w:fill="C8FF5C" w:themeFill="accent5" w:themeFillTint="7F"/>
      </w:tcPr>
    </w:tblStylePr>
    <w:tblStylePr w:type="band1Horz">
      <w:tblPr/>
      <w:tcPr>
        <w:shd w:val="clear" w:color="auto" w:fill="C8FF5C" w:themeFill="accent5" w:themeFillTint="7F"/>
      </w:tcPr>
    </w:tblStylePr>
  </w:style>
  <w:style w:type="table" w:styleId="MediumGrid1-Accent6">
    <w:name w:val="Medium Grid 1 Accent 6"/>
    <w:basedOn w:val="TableNormal"/>
    <w:uiPriority w:val="67"/>
    <w:rsid w:val="00DD5DC6"/>
    <w:tblPr>
      <w:tblStyleRowBandSize w:val="1"/>
      <w:tblStyleColBandSize w:val="1"/>
      <w:tbl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single" w:sz="8" w:space="0" w:color="FF9A40" w:themeColor="accent6" w:themeTint="BF"/>
        <w:insideV w:val="single" w:sz="8" w:space="0" w:color="FF9A40" w:themeColor="accent6" w:themeTint="BF"/>
      </w:tblBorders>
    </w:tblPr>
    <w:tcPr>
      <w:shd w:val="clear" w:color="auto" w:fill="FFDDC0" w:themeFill="accent6" w:themeFillTint="3F"/>
    </w:tcPr>
    <w:tblStylePr w:type="firstRow">
      <w:rPr>
        <w:b/>
        <w:bCs/>
      </w:rPr>
    </w:tblStylePr>
    <w:tblStylePr w:type="lastRow">
      <w:rPr>
        <w:b/>
        <w:bCs/>
      </w:rPr>
      <w:tblPr/>
      <w:tcPr>
        <w:tcBorders>
          <w:top w:val="single" w:sz="18" w:space="0" w:color="FF9A40" w:themeColor="accent6" w:themeTint="BF"/>
        </w:tcBorders>
      </w:tcPr>
    </w:tblStylePr>
    <w:tblStylePr w:type="firstCol">
      <w:rPr>
        <w:b/>
        <w:bCs/>
      </w:rPr>
    </w:tblStylePr>
    <w:tblStylePr w:type="lastCol">
      <w:rPr>
        <w:b/>
        <w:bCs/>
      </w:rPr>
    </w:tblStylePr>
    <w:tblStylePr w:type="band1Vert">
      <w:tblPr/>
      <w:tcPr>
        <w:shd w:val="clear" w:color="auto" w:fill="FFBC80" w:themeFill="accent6" w:themeFillTint="7F"/>
      </w:tcPr>
    </w:tblStylePr>
    <w:tblStylePr w:type="band1Horz">
      <w:tblPr/>
      <w:tcPr>
        <w:shd w:val="clear" w:color="auto" w:fill="FFBC80" w:themeFill="accent6" w:themeFillTint="7F"/>
      </w:tcPr>
    </w:tblStylePr>
  </w:style>
  <w:style w:type="table" w:styleId="MediumGrid2">
    <w:name w:val="Medium Grid 2"/>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insideH w:val="single" w:sz="8" w:space="0" w:color="4F2D7F" w:themeColor="accent1"/>
        <w:insideV w:val="single" w:sz="8" w:space="0" w:color="4F2D7F" w:themeColor="accent1"/>
      </w:tblBorders>
    </w:tblPr>
    <w:tcPr>
      <w:shd w:val="clear" w:color="auto" w:fill="D1C1E9" w:themeFill="accent1" w:themeFillTint="3F"/>
    </w:tcPr>
    <w:tblStylePr w:type="firstRow">
      <w:rPr>
        <w:b/>
        <w:bCs/>
        <w:color w:val="000000" w:themeColor="text1"/>
      </w:rPr>
      <w:tblPr/>
      <w:tcPr>
        <w:shd w:val="clear" w:color="auto" w:fill="ECE6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CDED" w:themeFill="accent1" w:themeFillTint="33"/>
      </w:tcPr>
    </w:tblStylePr>
    <w:tblStylePr w:type="band1Vert">
      <w:tblPr/>
      <w:tcPr>
        <w:shd w:val="clear" w:color="auto" w:fill="A382D3" w:themeFill="accent1" w:themeFillTint="7F"/>
      </w:tcPr>
    </w:tblStylePr>
    <w:tblStylePr w:type="band1Horz">
      <w:tblPr/>
      <w:tcPr>
        <w:tcBorders>
          <w:insideH w:val="single" w:sz="6" w:space="0" w:color="4F2D7F" w:themeColor="accent1"/>
          <w:insideV w:val="single" w:sz="6" w:space="0" w:color="4F2D7F" w:themeColor="accent1"/>
        </w:tcBorders>
        <w:shd w:val="clear" w:color="auto" w:fill="A382D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insideH w:val="single" w:sz="8" w:space="0" w:color="C30045" w:themeColor="accent2"/>
        <w:insideV w:val="single" w:sz="8" w:space="0" w:color="C30045" w:themeColor="accent2"/>
      </w:tblBorders>
    </w:tblPr>
    <w:tcPr>
      <w:shd w:val="clear" w:color="auto" w:fill="FFB1CC" w:themeFill="accent2" w:themeFillTint="3F"/>
    </w:tcPr>
    <w:tblStylePr w:type="firstRow">
      <w:rPr>
        <w:b/>
        <w:bCs/>
        <w:color w:val="000000" w:themeColor="text1"/>
      </w:rPr>
      <w:tblPr/>
      <w:tcPr>
        <w:shd w:val="clear" w:color="auto" w:fill="FFE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0D6" w:themeFill="accent2" w:themeFillTint="33"/>
      </w:tcPr>
    </w:tblStylePr>
    <w:tblStylePr w:type="band1Vert">
      <w:tblPr/>
      <w:tcPr>
        <w:shd w:val="clear" w:color="auto" w:fill="FF6299" w:themeFill="accent2" w:themeFillTint="7F"/>
      </w:tcPr>
    </w:tblStylePr>
    <w:tblStylePr w:type="band1Horz">
      <w:tblPr/>
      <w:tcPr>
        <w:tcBorders>
          <w:insideH w:val="single" w:sz="6" w:space="0" w:color="C30045" w:themeColor="accent2"/>
          <w:insideV w:val="single" w:sz="6" w:space="0" w:color="C30045" w:themeColor="accent2"/>
        </w:tcBorders>
        <w:shd w:val="clear" w:color="auto" w:fill="FF6299"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insideH w:val="single" w:sz="8" w:space="0" w:color="B1059D" w:themeColor="accent3"/>
        <w:insideV w:val="single" w:sz="8" w:space="0" w:color="B1059D" w:themeColor="accent3"/>
      </w:tblBorders>
    </w:tblPr>
    <w:tcPr>
      <w:shd w:val="clear" w:color="auto" w:fill="FCAFF3" w:themeFill="accent3" w:themeFillTint="3F"/>
    </w:tcPr>
    <w:tblStylePr w:type="firstRow">
      <w:rPr>
        <w:b/>
        <w:bCs/>
        <w:color w:val="000000" w:themeColor="text1"/>
      </w:rPr>
      <w:tblPr/>
      <w:tcPr>
        <w:shd w:val="clear" w:color="auto" w:fill="FEDFF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BFF6" w:themeFill="accent3" w:themeFillTint="33"/>
      </w:tcPr>
    </w:tblStylePr>
    <w:tblStylePr w:type="band1Vert">
      <w:tblPr/>
      <w:tcPr>
        <w:shd w:val="clear" w:color="auto" w:fill="FA5FE8" w:themeFill="accent3" w:themeFillTint="7F"/>
      </w:tcPr>
    </w:tblStylePr>
    <w:tblStylePr w:type="band1Horz">
      <w:tblPr/>
      <w:tcPr>
        <w:tcBorders>
          <w:insideH w:val="single" w:sz="6" w:space="0" w:color="B1059D" w:themeColor="accent3"/>
          <w:insideV w:val="single" w:sz="6" w:space="0" w:color="B1059D" w:themeColor="accent3"/>
        </w:tcBorders>
        <w:shd w:val="clear" w:color="auto" w:fill="FA5FE8"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insideH w:val="single" w:sz="8" w:space="0" w:color="006D55" w:themeColor="accent4"/>
        <w:insideV w:val="single" w:sz="8" w:space="0" w:color="006D55" w:themeColor="accent4"/>
      </w:tblBorders>
    </w:tblPr>
    <w:tcPr>
      <w:shd w:val="clear" w:color="auto" w:fill="9BFFE8" w:themeFill="accent4" w:themeFillTint="3F"/>
    </w:tcPr>
    <w:tblStylePr w:type="firstRow">
      <w:rPr>
        <w:b/>
        <w:bCs/>
        <w:color w:val="000000" w:themeColor="text1"/>
      </w:rPr>
      <w:tblPr/>
      <w:tcPr>
        <w:shd w:val="clear" w:color="auto" w:fill="D7F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EFFED" w:themeFill="accent4" w:themeFillTint="33"/>
      </w:tcPr>
    </w:tblStylePr>
    <w:tblStylePr w:type="band1Vert">
      <w:tblPr/>
      <w:tcPr>
        <w:shd w:val="clear" w:color="auto" w:fill="37FFD2" w:themeFill="accent4" w:themeFillTint="7F"/>
      </w:tcPr>
    </w:tblStylePr>
    <w:tblStylePr w:type="band1Horz">
      <w:tblPr/>
      <w:tcPr>
        <w:tcBorders>
          <w:insideH w:val="single" w:sz="6" w:space="0" w:color="006D55" w:themeColor="accent4"/>
          <w:insideV w:val="single" w:sz="6" w:space="0" w:color="006D55" w:themeColor="accent4"/>
        </w:tcBorders>
        <w:shd w:val="clear" w:color="auto" w:fill="37FFD2"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insideH w:val="single" w:sz="8" w:space="0" w:color="7AB800" w:themeColor="accent5"/>
        <w:insideV w:val="single" w:sz="8" w:space="0" w:color="7AB800" w:themeColor="accent5"/>
      </w:tblBorders>
    </w:tblPr>
    <w:tcPr>
      <w:shd w:val="clear" w:color="auto" w:fill="E3FFAE" w:themeFill="accent5" w:themeFillTint="3F"/>
    </w:tcPr>
    <w:tblStylePr w:type="firstRow">
      <w:rPr>
        <w:b/>
        <w:bCs/>
        <w:color w:val="000000" w:themeColor="text1"/>
      </w:rPr>
      <w:tblPr/>
      <w:tcPr>
        <w:shd w:val="clear" w:color="auto" w:fill="F4FFD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FFBD" w:themeFill="accent5" w:themeFillTint="33"/>
      </w:tcPr>
    </w:tblStylePr>
    <w:tblStylePr w:type="band1Vert">
      <w:tblPr/>
      <w:tcPr>
        <w:shd w:val="clear" w:color="auto" w:fill="C8FF5C" w:themeFill="accent5" w:themeFillTint="7F"/>
      </w:tcPr>
    </w:tblStylePr>
    <w:tblStylePr w:type="band1Horz">
      <w:tblPr/>
      <w:tcPr>
        <w:tcBorders>
          <w:insideH w:val="single" w:sz="6" w:space="0" w:color="7AB800" w:themeColor="accent5"/>
          <w:insideV w:val="single" w:sz="6" w:space="0" w:color="7AB800" w:themeColor="accent5"/>
        </w:tcBorders>
        <w:shd w:val="clear" w:color="auto" w:fill="C8FF5C"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insideH w:val="single" w:sz="8" w:space="0" w:color="FF7900" w:themeColor="accent6"/>
        <w:insideV w:val="single" w:sz="8" w:space="0" w:color="FF7900" w:themeColor="accent6"/>
      </w:tblBorders>
    </w:tblPr>
    <w:tcPr>
      <w:shd w:val="clear" w:color="auto" w:fill="FFDDC0" w:themeFill="accent6" w:themeFillTint="3F"/>
    </w:tcPr>
    <w:tblStylePr w:type="firstRow">
      <w:rPr>
        <w:b/>
        <w:bCs/>
        <w:color w:val="000000" w:themeColor="text1"/>
      </w:rPr>
      <w:tblPr/>
      <w:tcPr>
        <w:shd w:val="clear" w:color="auto" w:fill="FFF1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4CC" w:themeFill="accent6" w:themeFillTint="33"/>
      </w:tcPr>
    </w:tblStylePr>
    <w:tblStylePr w:type="band1Vert">
      <w:tblPr/>
      <w:tcPr>
        <w:shd w:val="clear" w:color="auto" w:fill="FFBC80" w:themeFill="accent6" w:themeFillTint="7F"/>
      </w:tcPr>
    </w:tblStylePr>
    <w:tblStylePr w:type="band1Horz">
      <w:tblPr/>
      <w:tcPr>
        <w:tcBorders>
          <w:insideH w:val="single" w:sz="6" w:space="0" w:color="FF7900" w:themeColor="accent6"/>
          <w:insideV w:val="single" w:sz="6" w:space="0" w:color="FF7900" w:themeColor="accent6"/>
        </w:tcBorders>
        <w:shd w:val="clear" w:color="auto" w:fill="FFBC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C1E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2D7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2D7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2D7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2D7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382D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382D3" w:themeFill="accent1" w:themeFillTint="7F"/>
      </w:tcPr>
    </w:tblStylePr>
  </w:style>
  <w:style w:type="table" w:styleId="MediumGrid3-Accent2">
    <w:name w:val="Medium Grid 3 Accent 2"/>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1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30045"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30045"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30045"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30045"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29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299" w:themeFill="accent2" w:themeFillTint="7F"/>
      </w:tcPr>
    </w:tblStylePr>
  </w:style>
  <w:style w:type="table" w:styleId="MediumGrid3-Accent3">
    <w:name w:val="Medium Grid 3 Accent 3"/>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AFF3"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1059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1059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1059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1059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5FE8"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5FE8" w:themeFill="accent3" w:themeFillTint="7F"/>
      </w:tcPr>
    </w:tblStylePr>
  </w:style>
  <w:style w:type="table" w:styleId="MediumGrid3-Accent4">
    <w:name w:val="Medium Grid 3 Accent 4"/>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BFF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6D5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6D5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6D5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6D5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7FFD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7FFD2" w:themeFill="accent4" w:themeFillTint="7F"/>
      </w:tcPr>
    </w:tblStylePr>
  </w:style>
  <w:style w:type="table" w:styleId="MediumGrid3-Accent5">
    <w:name w:val="Medium Grid 3 Accent 5"/>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FA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AB8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AB8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AB8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AB8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FF5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FF5C" w:themeFill="accent5" w:themeFillTint="7F"/>
      </w:tcPr>
    </w:tblStylePr>
  </w:style>
  <w:style w:type="table" w:styleId="MediumGrid3-Accent6">
    <w:name w:val="Medium Grid 3 Accent 6"/>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D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79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79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79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79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BC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BC80" w:themeFill="accent6" w:themeFillTint="7F"/>
      </w:tcPr>
    </w:tblStylePr>
  </w:style>
  <w:style w:type="table" w:styleId="MediumList1">
    <w:name w:val="Medium List 1"/>
    <w:basedOn w:val="TableNormal"/>
    <w:uiPriority w:val="65"/>
    <w:rsid w:val="00DD5DC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824B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DD5DC6"/>
    <w:rPr>
      <w:color w:val="000000" w:themeColor="text1"/>
    </w:rPr>
    <w:tblPr>
      <w:tblStyleRowBandSize w:val="1"/>
      <w:tblStyleColBandSize w:val="1"/>
      <w:tblBorders>
        <w:top w:val="single" w:sz="8" w:space="0" w:color="4F2D7F" w:themeColor="accent1"/>
        <w:bottom w:val="single" w:sz="8" w:space="0" w:color="4F2D7F" w:themeColor="accent1"/>
      </w:tblBorders>
    </w:tblPr>
    <w:tblStylePr w:type="firstRow">
      <w:rPr>
        <w:rFonts w:asciiTheme="majorHAnsi" w:eastAsiaTheme="majorEastAsia" w:hAnsiTheme="majorHAnsi" w:cstheme="majorBidi"/>
      </w:rPr>
      <w:tblPr/>
      <w:tcPr>
        <w:tcBorders>
          <w:top w:val="nil"/>
          <w:bottom w:val="single" w:sz="8" w:space="0" w:color="4F2D7F" w:themeColor="accent1"/>
        </w:tcBorders>
      </w:tcPr>
    </w:tblStylePr>
    <w:tblStylePr w:type="lastRow">
      <w:rPr>
        <w:b/>
        <w:bCs/>
        <w:color w:val="824BB0" w:themeColor="text2"/>
      </w:rPr>
      <w:tblPr/>
      <w:tcPr>
        <w:tcBorders>
          <w:top w:val="single" w:sz="8" w:space="0" w:color="4F2D7F" w:themeColor="accent1"/>
          <w:bottom w:val="single" w:sz="8" w:space="0" w:color="4F2D7F" w:themeColor="accent1"/>
        </w:tcBorders>
      </w:tcPr>
    </w:tblStylePr>
    <w:tblStylePr w:type="firstCol">
      <w:rPr>
        <w:b/>
        <w:bCs/>
      </w:rPr>
    </w:tblStylePr>
    <w:tblStylePr w:type="lastCol">
      <w:rPr>
        <w:b/>
        <w:bCs/>
      </w:rPr>
      <w:tblPr/>
      <w:tcPr>
        <w:tcBorders>
          <w:top w:val="single" w:sz="8" w:space="0" w:color="4F2D7F" w:themeColor="accent1"/>
          <w:bottom w:val="single" w:sz="8" w:space="0" w:color="4F2D7F" w:themeColor="accent1"/>
        </w:tcBorders>
      </w:tcPr>
    </w:tblStylePr>
    <w:tblStylePr w:type="band1Vert">
      <w:tblPr/>
      <w:tcPr>
        <w:shd w:val="clear" w:color="auto" w:fill="D1C1E9" w:themeFill="accent1" w:themeFillTint="3F"/>
      </w:tcPr>
    </w:tblStylePr>
    <w:tblStylePr w:type="band1Horz">
      <w:tblPr/>
      <w:tcPr>
        <w:shd w:val="clear" w:color="auto" w:fill="D1C1E9" w:themeFill="accent1" w:themeFillTint="3F"/>
      </w:tcPr>
    </w:tblStylePr>
  </w:style>
  <w:style w:type="table" w:styleId="MediumList1-Accent2">
    <w:name w:val="Medium List 1 Accent 2"/>
    <w:basedOn w:val="TableNormal"/>
    <w:uiPriority w:val="65"/>
    <w:rsid w:val="00DD5DC6"/>
    <w:rPr>
      <w:color w:val="000000" w:themeColor="text1"/>
    </w:rPr>
    <w:tblPr>
      <w:tblStyleRowBandSize w:val="1"/>
      <w:tblStyleColBandSize w:val="1"/>
      <w:tblBorders>
        <w:top w:val="single" w:sz="8" w:space="0" w:color="C30045" w:themeColor="accent2"/>
        <w:bottom w:val="single" w:sz="8" w:space="0" w:color="C30045" w:themeColor="accent2"/>
      </w:tblBorders>
    </w:tblPr>
    <w:tblStylePr w:type="firstRow">
      <w:rPr>
        <w:rFonts w:asciiTheme="majorHAnsi" w:eastAsiaTheme="majorEastAsia" w:hAnsiTheme="majorHAnsi" w:cstheme="majorBidi"/>
      </w:rPr>
      <w:tblPr/>
      <w:tcPr>
        <w:tcBorders>
          <w:top w:val="nil"/>
          <w:bottom w:val="single" w:sz="8" w:space="0" w:color="C30045" w:themeColor="accent2"/>
        </w:tcBorders>
      </w:tcPr>
    </w:tblStylePr>
    <w:tblStylePr w:type="lastRow">
      <w:rPr>
        <w:b/>
        <w:bCs/>
        <w:color w:val="824BB0" w:themeColor="text2"/>
      </w:rPr>
      <w:tblPr/>
      <w:tcPr>
        <w:tcBorders>
          <w:top w:val="single" w:sz="8" w:space="0" w:color="C30045" w:themeColor="accent2"/>
          <w:bottom w:val="single" w:sz="8" w:space="0" w:color="C30045" w:themeColor="accent2"/>
        </w:tcBorders>
      </w:tcPr>
    </w:tblStylePr>
    <w:tblStylePr w:type="firstCol">
      <w:rPr>
        <w:b/>
        <w:bCs/>
      </w:rPr>
    </w:tblStylePr>
    <w:tblStylePr w:type="lastCol">
      <w:rPr>
        <w:b/>
        <w:bCs/>
      </w:rPr>
      <w:tblPr/>
      <w:tcPr>
        <w:tcBorders>
          <w:top w:val="single" w:sz="8" w:space="0" w:color="C30045" w:themeColor="accent2"/>
          <w:bottom w:val="single" w:sz="8" w:space="0" w:color="C30045" w:themeColor="accent2"/>
        </w:tcBorders>
      </w:tcPr>
    </w:tblStylePr>
    <w:tblStylePr w:type="band1Vert">
      <w:tblPr/>
      <w:tcPr>
        <w:shd w:val="clear" w:color="auto" w:fill="FFB1CC" w:themeFill="accent2" w:themeFillTint="3F"/>
      </w:tcPr>
    </w:tblStylePr>
    <w:tblStylePr w:type="band1Horz">
      <w:tblPr/>
      <w:tcPr>
        <w:shd w:val="clear" w:color="auto" w:fill="FFB1CC" w:themeFill="accent2" w:themeFillTint="3F"/>
      </w:tcPr>
    </w:tblStylePr>
  </w:style>
  <w:style w:type="table" w:styleId="MediumList1-Accent3">
    <w:name w:val="Medium List 1 Accent 3"/>
    <w:basedOn w:val="TableNormal"/>
    <w:uiPriority w:val="65"/>
    <w:rsid w:val="00DD5DC6"/>
    <w:rPr>
      <w:color w:val="000000" w:themeColor="text1"/>
    </w:rPr>
    <w:tblPr>
      <w:tblStyleRowBandSize w:val="1"/>
      <w:tblStyleColBandSize w:val="1"/>
      <w:tblBorders>
        <w:top w:val="single" w:sz="8" w:space="0" w:color="B1059D" w:themeColor="accent3"/>
        <w:bottom w:val="single" w:sz="8" w:space="0" w:color="B1059D" w:themeColor="accent3"/>
      </w:tblBorders>
    </w:tblPr>
    <w:tblStylePr w:type="firstRow">
      <w:rPr>
        <w:rFonts w:asciiTheme="majorHAnsi" w:eastAsiaTheme="majorEastAsia" w:hAnsiTheme="majorHAnsi" w:cstheme="majorBidi"/>
      </w:rPr>
      <w:tblPr/>
      <w:tcPr>
        <w:tcBorders>
          <w:top w:val="nil"/>
          <w:bottom w:val="single" w:sz="8" w:space="0" w:color="B1059D" w:themeColor="accent3"/>
        </w:tcBorders>
      </w:tcPr>
    </w:tblStylePr>
    <w:tblStylePr w:type="lastRow">
      <w:rPr>
        <w:b/>
        <w:bCs/>
        <w:color w:val="824BB0" w:themeColor="text2"/>
      </w:rPr>
      <w:tblPr/>
      <w:tcPr>
        <w:tcBorders>
          <w:top w:val="single" w:sz="8" w:space="0" w:color="B1059D" w:themeColor="accent3"/>
          <w:bottom w:val="single" w:sz="8" w:space="0" w:color="B1059D" w:themeColor="accent3"/>
        </w:tcBorders>
      </w:tcPr>
    </w:tblStylePr>
    <w:tblStylePr w:type="firstCol">
      <w:rPr>
        <w:b/>
        <w:bCs/>
      </w:rPr>
    </w:tblStylePr>
    <w:tblStylePr w:type="lastCol">
      <w:rPr>
        <w:b/>
        <w:bCs/>
      </w:rPr>
      <w:tblPr/>
      <w:tcPr>
        <w:tcBorders>
          <w:top w:val="single" w:sz="8" w:space="0" w:color="B1059D" w:themeColor="accent3"/>
          <w:bottom w:val="single" w:sz="8" w:space="0" w:color="B1059D" w:themeColor="accent3"/>
        </w:tcBorders>
      </w:tcPr>
    </w:tblStylePr>
    <w:tblStylePr w:type="band1Vert">
      <w:tblPr/>
      <w:tcPr>
        <w:shd w:val="clear" w:color="auto" w:fill="FCAFF3" w:themeFill="accent3" w:themeFillTint="3F"/>
      </w:tcPr>
    </w:tblStylePr>
    <w:tblStylePr w:type="band1Horz">
      <w:tblPr/>
      <w:tcPr>
        <w:shd w:val="clear" w:color="auto" w:fill="FCAFF3" w:themeFill="accent3" w:themeFillTint="3F"/>
      </w:tcPr>
    </w:tblStylePr>
  </w:style>
  <w:style w:type="table" w:styleId="MediumList1-Accent4">
    <w:name w:val="Medium List 1 Accent 4"/>
    <w:basedOn w:val="TableNormal"/>
    <w:uiPriority w:val="65"/>
    <w:rsid w:val="00DD5DC6"/>
    <w:rPr>
      <w:color w:val="000000" w:themeColor="text1"/>
    </w:rPr>
    <w:tblPr>
      <w:tblStyleRowBandSize w:val="1"/>
      <w:tblStyleColBandSize w:val="1"/>
      <w:tblBorders>
        <w:top w:val="single" w:sz="8" w:space="0" w:color="006D55" w:themeColor="accent4"/>
        <w:bottom w:val="single" w:sz="8" w:space="0" w:color="006D55" w:themeColor="accent4"/>
      </w:tblBorders>
    </w:tblPr>
    <w:tblStylePr w:type="firstRow">
      <w:rPr>
        <w:rFonts w:asciiTheme="majorHAnsi" w:eastAsiaTheme="majorEastAsia" w:hAnsiTheme="majorHAnsi" w:cstheme="majorBidi"/>
      </w:rPr>
      <w:tblPr/>
      <w:tcPr>
        <w:tcBorders>
          <w:top w:val="nil"/>
          <w:bottom w:val="single" w:sz="8" w:space="0" w:color="006D55" w:themeColor="accent4"/>
        </w:tcBorders>
      </w:tcPr>
    </w:tblStylePr>
    <w:tblStylePr w:type="lastRow">
      <w:rPr>
        <w:b/>
        <w:bCs/>
        <w:color w:val="824BB0" w:themeColor="text2"/>
      </w:rPr>
      <w:tblPr/>
      <w:tcPr>
        <w:tcBorders>
          <w:top w:val="single" w:sz="8" w:space="0" w:color="006D55" w:themeColor="accent4"/>
          <w:bottom w:val="single" w:sz="8" w:space="0" w:color="006D55" w:themeColor="accent4"/>
        </w:tcBorders>
      </w:tcPr>
    </w:tblStylePr>
    <w:tblStylePr w:type="firstCol">
      <w:rPr>
        <w:b/>
        <w:bCs/>
      </w:rPr>
    </w:tblStylePr>
    <w:tblStylePr w:type="lastCol">
      <w:rPr>
        <w:b/>
        <w:bCs/>
      </w:rPr>
      <w:tblPr/>
      <w:tcPr>
        <w:tcBorders>
          <w:top w:val="single" w:sz="8" w:space="0" w:color="006D55" w:themeColor="accent4"/>
          <w:bottom w:val="single" w:sz="8" w:space="0" w:color="006D55" w:themeColor="accent4"/>
        </w:tcBorders>
      </w:tcPr>
    </w:tblStylePr>
    <w:tblStylePr w:type="band1Vert">
      <w:tblPr/>
      <w:tcPr>
        <w:shd w:val="clear" w:color="auto" w:fill="9BFFE8" w:themeFill="accent4" w:themeFillTint="3F"/>
      </w:tcPr>
    </w:tblStylePr>
    <w:tblStylePr w:type="band1Horz">
      <w:tblPr/>
      <w:tcPr>
        <w:shd w:val="clear" w:color="auto" w:fill="9BFFE8" w:themeFill="accent4" w:themeFillTint="3F"/>
      </w:tcPr>
    </w:tblStylePr>
  </w:style>
  <w:style w:type="table" w:styleId="MediumList1-Accent5">
    <w:name w:val="Medium List 1 Accent 5"/>
    <w:basedOn w:val="TableNormal"/>
    <w:uiPriority w:val="65"/>
    <w:rsid w:val="00DD5DC6"/>
    <w:rPr>
      <w:color w:val="000000" w:themeColor="text1"/>
    </w:rPr>
    <w:tblPr>
      <w:tblStyleRowBandSize w:val="1"/>
      <w:tblStyleColBandSize w:val="1"/>
      <w:tblBorders>
        <w:top w:val="single" w:sz="8" w:space="0" w:color="7AB800" w:themeColor="accent5"/>
        <w:bottom w:val="single" w:sz="8" w:space="0" w:color="7AB800" w:themeColor="accent5"/>
      </w:tblBorders>
    </w:tblPr>
    <w:tblStylePr w:type="firstRow">
      <w:rPr>
        <w:rFonts w:asciiTheme="majorHAnsi" w:eastAsiaTheme="majorEastAsia" w:hAnsiTheme="majorHAnsi" w:cstheme="majorBidi"/>
      </w:rPr>
      <w:tblPr/>
      <w:tcPr>
        <w:tcBorders>
          <w:top w:val="nil"/>
          <w:bottom w:val="single" w:sz="8" w:space="0" w:color="7AB800" w:themeColor="accent5"/>
        </w:tcBorders>
      </w:tcPr>
    </w:tblStylePr>
    <w:tblStylePr w:type="lastRow">
      <w:rPr>
        <w:b/>
        <w:bCs/>
        <w:color w:val="824BB0" w:themeColor="text2"/>
      </w:rPr>
      <w:tblPr/>
      <w:tcPr>
        <w:tcBorders>
          <w:top w:val="single" w:sz="8" w:space="0" w:color="7AB800" w:themeColor="accent5"/>
          <w:bottom w:val="single" w:sz="8" w:space="0" w:color="7AB800" w:themeColor="accent5"/>
        </w:tcBorders>
      </w:tcPr>
    </w:tblStylePr>
    <w:tblStylePr w:type="firstCol">
      <w:rPr>
        <w:b/>
        <w:bCs/>
      </w:rPr>
    </w:tblStylePr>
    <w:tblStylePr w:type="lastCol">
      <w:rPr>
        <w:b/>
        <w:bCs/>
      </w:rPr>
      <w:tblPr/>
      <w:tcPr>
        <w:tcBorders>
          <w:top w:val="single" w:sz="8" w:space="0" w:color="7AB800" w:themeColor="accent5"/>
          <w:bottom w:val="single" w:sz="8" w:space="0" w:color="7AB800" w:themeColor="accent5"/>
        </w:tcBorders>
      </w:tcPr>
    </w:tblStylePr>
    <w:tblStylePr w:type="band1Vert">
      <w:tblPr/>
      <w:tcPr>
        <w:shd w:val="clear" w:color="auto" w:fill="E3FFAE" w:themeFill="accent5" w:themeFillTint="3F"/>
      </w:tcPr>
    </w:tblStylePr>
    <w:tblStylePr w:type="band1Horz">
      <w:tblPr/>
      <w:tcPr>
        <w:shd w:val="clear" w:color="auto" w:fill="E3FFAE" w:themeFill="accent5" w:themeFillTint="3F"/>
      </w:tcPr>
    </w:tblStylePr>
  </w:style>
  <w:style w:type="table" w:styleId="MediumList1-Accent6">
    <w:name w:val="Medium List 1 Accent 6"/>
    <w:basedOn w:val="TableNormal"/>
    <w:uiPriority w:val="65"/>
    <w:rsid w:val="00DD5DC6"/>
    <w:rPr>
      <w:color w:val="000000" w:themeColor="text1"/>
    </w:rPr>
    <w:tblPr>
      <w:tblStyleRowBandSize w:val="1"/>
      <w:tblStyleColBandSize w:val="1"/>
      <w:tblBorders>
        <w:top w:val="single" w:sz="8" w:space="0" w:color="FF7900" w:themeColor="accent6"/>
        <w:bottom w:val="single" w:sz="8" w:space="0" w:color="FF7900" w:themeColor="accent6"/>
      </w:tblBorders>
    </w:tblPr>
    <w:tblStylePr w:type="firstRow">
      <w:rPr>
        <w:rFonts w:asciiTheme="majorHAnsi" w:eastAsiaTheme="majorEastAsia" w:hAnsiTheme="majorHAnsi" w:cstheme="majorBidi"/>
      </w:rPr>
      <w:tblPr/>
      <w:tcPr>
        <w:tcBorders>
          <w:top w:val="nil"/>
          <w:bottom w:val="single" w:sz="8" w:space="0" w:color="FF7900" w:themeColor="accent6"/>
        </w:tcBorders>
      </w:tcPr>
    </w:tblStylePr>
    <w:tblStylePr w:type="lastRow">
      <w:rPr>
        <w:b/>
        <w:bCs/>
        <w:color w:val="824BB0" w:themeColor="text2"/>
      </w:rPr>
      <w:tblPr/>
      <w:tcPr>
        <w:tcBorders>
          <w:top w:val="single" w:sz="8" w:space="0" w:color="FF7900" w:themeColor="accent6"/>
          <w:bottom w:val="single" w:sz="8" w:space="0" w:color="FF7900" w:themeColor="accent6"/>
        </w:tcBorders>
      </w:tcPr>
    </w:tblStylePr>
    <w:tblStylePr w:type="firstCol">
      <w:rPr>
        <w:b/>
        <w:bCs/>
      </w:rPr>
    </w:tblStylePr>
    <w:tblStylePr w:type="lastCol">
      <w:rPr>
        <w:b/>
        <w:bCs/>
      </w:rPr>
      <w:tblPr/>
      <w:tcPr>
        <w:tcBorders>
          <w:top w:val="single" w:sz="8" w:space="0" w:color="FF7900" w:themeColor="accent6"/>
          <w:bottom w:val="single" w:sz="8" w:space="0" w:color="FF7900" w:themeColor="accent6"/>
        </w:tcBorders>
      </w:tcPr>
    </w:tblStylePr>
    <w:tblStylePr w:type="band1Vert">
      <w:tblPr/>
      <w:tcPr>
        <w:shd w:val="clear" w:color="auto" w:fill="FFDDC0" w:themeFill="accent6" w:themeFillTint="3F"/>
      </w:tcPr>
    </w:tblStylePr>
    <w:tblStylePr w:type="band1Horz">
      <w:tblPr/>
      <w:tcPr>
        <w:shd w:val="clear" w:color="auto" w:fill="FFDDC0" w:themeFill="accent6" w:themeFillTint="3F"/>
      </w:tcPr>
    </w:tblStylePr>
  </w:style>
  <w:style w:type="table" w:styleId="MediumList2">
    <w:name w:val="Medium List 2"/>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tblBorders>
    </w:tblPr>
    <w:tblStylePr w:type="firstRow">
      <w:rPr>
        <w:sz w:val="24"/>
        <w:szCs w:val="24"/>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tblPr/>
      <w:tcPr>
        <w:tcBorders>
          <w:top w:val="single" w:sz="8" w:space="0" w:color="C30045"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30045" w:themeColor="accent2"/>
          <w:insideH w:val="nil"/>
          <w:insideV w:val="nil"/>
        </w:tcBorders>
        <w:shd w:val="clear" w:color="auto" w:fill="FFFFFF" w:themeFill="background1"/>
      </w:tcPr>
    </w:tblStylePr>
    <w:tblStylePr w:type="lastCol">
      <w:tblPr/>
      <w:tcPr>
        <w:tcBorders>
          <w:top w:val="nil"/>
          <w:left w:val="single" w:sz="8" w:space="0" w:color="C30045"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1CC" w:themeFill="accent2" w:themeFillTint="3F"/>
      </w:tcPr>
    </w:tblStylePr>
    <w:tblStylePr w:type="band1Horz">
      <w:tblPr/>
      <w:tcPr>
        <w:tcBorders>
          <w:top w:val="nil"/>
          <w:bottom w:val="nil"/>
          <w:insideH w:val="nil"/>
          <w:insideV w:val="nil"/>
        </w:tcBorders>
        <w:shd w:val="clear" w:color="auto" w:fill="FFB1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tblBorders>
    </w:tblPr>
    <w:tblStylePr w:type="firstRow">
      <w:rPr>
        <w:sz w:val="24"/>
        <w:szCs w:val="24"/>
      </w:rPr>
      <w:tblPr/>
      <w:tcPr>
        <w:tcBorders>
          <w:top w:val="nil"/>
          <w:left w:val="nil"/>
          <w:bottom w:val="single" w:sz="24" w:space="0" w:color="B1059D" w:themeColor="accent3"/>
          <w:right w:val="nil"/>
          <w:insideH w:val="nil"/>
          <w:insideV w:val="nil"/>
        </w:tcBorders>
        <w:shd w:val="clear" w:color="auto" w:fill="FFFFFF" w:themeFill="background1"/>
      </w:tcPr>
    </w:tblStylePr>
    <w:tblStylePr w:type="lastRow">
      <w:tblPr/>
      <w:tcPr>
        <w:tcBorders>
          <w:top w:val="single" w:sz="8" w:space="0" w:color="B1059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1059D" w:themeColor="accent3"/>
          <w:insideH w:val="nil"/>
          <w:insideV w:val="nil"/>
        </w:tcBorders>
        <w:shd w:val="clear" w:color="auto" w:fill="FFFFFF" w:themeFill="background1"/>
      </w:tcPr>
    </w:tblStylePr>
    <w:tblStylePr w:type="lastCol">
      <w:tblPr/>
      <w:tcPr>
        <w:tcBorders>
          <w:top w:val="nil"/>
          <w:left w:val="single" w:sz="8" w:space="0" w:color="B1059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AFF3" w:themeFill="accent3" w:themeFillTint="3F"/>
      </w:tcPr>
    </w:tblStylePr>
    <w:tblStylePr w:type="band1Horz">
      <w:tblPr/>
      <w:tcPr>
        <w:tcBorders>
          <w:top w:val="nil"/>
          <w:bottom w:val="nil"/>
          <w:insideH w:val="nil"/>
          <w:insideV w:val="nil"/>
        </w:tcBorders>
        <w:shd w:val="clear" w:color="auto" w:fill="FCAFF3"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tblBorders>
    </w:tblPr>
    <w:tblStylePr w:type="firstRow">
      <w:rPr>
        <w:sz w:val="24"/>
        <w:szCs w:val="24"/>
      </w:rPr>
      <w:tblPr/>
      <w:tcPr>
        <w:tcBorders>
          <w:top w:val="nil"/>
          <w:left w:val="nil"/>
          <w:bottom w:val="single" w:sz="24" w:space="0" w:color="006D55" w:themeColor="accent4"/>
          <w:right w:val="nil"/>
          <w:insideH w:val="nil"/>
          <w:insideV w:val="nil"/>
        </w:tcBorders>
        <w:shd w:val="clear" w:color="auto" w:fill="FFFFFF" w:themeFill="background1"/>
      </w:tcPr>
    </w:tblStylePr>
    <w:tblStylePr w:type="lastRow">
      <w:tblPr/>
      <w:tcPr>
        <w:tcBorders>
          <w:top w:val="single" w:sz="8" w:space="0" w:color="006D5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6D55" w:themeColor="accent4"/>
          <w:insideH w:val="nil"/>
          <w:insideV w:val="nil"/>
        </w:tcBorders>
        <w:shd w:val="clear" w:color="auto" w:fill="FFFFFF" w:themeFill="background1"/>
      </w:tcPr>
    </w:tblStylePr>
    <w:tblStylePr w:type="lastCol">
      <w:tblPr/>
      <w:tcPr>
        <w:tcBorders>
          <w:top w:val="nil"/>
          <w:left w:val="single" w:sz="8" w:space="0" w:color="006D5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BFFE8" w:themeFill="accent4" w:themeFillTint="3F"/>
      </w:tcPr>
    </w:tblStylePr>
    <w:tblStylePr w:type="band1Horz">
      <w:tblPr/>
      <w:tcPr>
        <w:tcBorders>
          <w:top w:val="nil"/>
          <w:bottom w:val="nil"/>
          <w:insideH w:val="nil"/>
          <w:insideV w:val="nil"/>
        </w:tcBorders>
        <w:shd w:val="clear" w:color="auto" w:fill="9BFF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tblBorders>
    </w:tblPr>
    <w:tblStylePr w:type="firstRow">
      <w:rPr>
        <w:sz w:val="24"/>
        <w:szCs w:val="24"/>
      </w:rPr>
      <w:tblPr/>
      <w:tcPr>
        <w:tcBorders>
          <w:top w:val="nil"/>
          <w:left w:val="nil"/>
          <w:bottom w:val="single" w:sz="24" w:space="0" w:color="7AB800" w:themeColor="accent5"/>
          <w:right w:val="nil"/>
          <w:insideH w:val="nil"/>
          <w:insideV w:val="nil"/>
        </w:tcBorders>
        <w:shd w:val="clear" w:color="auto" w:fill="FFFFFF" w:themeFill="background1"/>
      </w:tcPr>
    </w:tblStylePr>
    <w:tblStylePr w:type="lastRow">
      <w:tblPr/>
      <w:tcPr>
        <w:tcBorders>
          <w:top w:val="single" w:sz="8" w:space="0" w:color="7AB8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AB800" w:themeColor="accent5"/>
          <w:insideH w:val="nil"/>
          <w:insideV w:val="nil"/>
        </w:tcBorders>
        <w:shd w:val="clear" w:color="auto" w:fill="FFFFFF" w:themeFill="background1"/>
      </w:tcPr>
    </w:tblStylePr>
    <w:tblStylePr w:type="lastCol">
      <w:tblPr/>
      <w:tcPr>
        <w:tcBorders>
          <w:top w:val="nil"/>
          <w:left w:val="single" w:sz="8" w:space="0" w:color="7AB8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FAE" w:themeFill="accent5" w:themeFillTint="3F"/>
      </w:tcPr>
    </w:tblStylePr>
    <w:tblStylePr w:type="band1Horz">
      <w:tblPr/>
      <w:tcPr>
        <w:tcBorders>
          <w:top w:val="nil"/>
          <w:bottom w:val="nil"/>
          <w:insideH w:val="nil"/>
          <w:insideV w:val="nil"/>
        </w:tcBorders>
        <w:shd w:val="clear" w:color="auto" w:fill="E3FFA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tblBorders>
    </w:tblPr>
    <w:tblStylePr w:type="firstRow">
      <w:rPr>
        <w:sz w:val="24"/>
        <w:szCs w:val="24"/>
      </w:rPr>
      <w:tblPr/>
      <w:tcPr>
        <w:tcBorders>
          <w:top w:val="nil"/>
          <w:left w:val="nil"/>
          <w:bottom w:val="single" w:sz="24" w:space="0" w:color="FF7900" w:themeColor="accent6"/>
          <w:right w:val="nil"/>
          <w:insideH w:val="nil"/>
          <w:insideV w:val="nil"/>
        </w:tcBorders>
        <w:shd w:val="clear" w:color="auto" w:fill="FFFFFF" w:themeFill="background1"/>
      </w:tcPr>
    </w:tblStylePr>
    <w:tblStylePr w:type="lastRow">
      <w:tblPr/>
      <w:tcPr>
        <w:tcBorders>
          <w:top w:val="single" w:sz="8" w:space="0" w:color="FF79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7900" w:themeColor="accent6"/>
          <w:insideH w:val="nil"/>
          <w:insideV w:val="nil"/>
        </w:tcBorders>
        <w:shd w:val="clear" w:color="auto" w:fill="FFFFFF" w:themeFill="background1"/>
      </w:tcPr>
    </w:tblStylePr>
    <w:tblStylePr w:type="lastCol">
      <w:tblPr/>
      <w:tcPr>
        <w:tcBorders>
          <w:top w:val="nil"/>
          <w:left w:val="single" w:sz="8" w:space="0" w:color="FF79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DC0" w:themeFill="accent6" w:themeFillTint="3F"/>
      </w:tcPr>
    </w:tblStylePr>
    <w:tblStylePr w:type="band1Horz">
      <w:tblPr/>
      <w:tcPr>
        <w:tcBorders>
          <w:top w:val="nil"/>
          <w:bottom w:val="nil"/>
          <w:insideH w:val="nil"/>
          <w:insideV w:val="nil"/>
        </w:tcBorders>
        <w:shd w:val="clear" w:color="auto" w:fill="FFDD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DD5DC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D5DC6"/>
    <w:tblPr>
      <w:tblStyleRowBandSize w:val="1"/>
      <w:tblStyleColBandSize w:val="1"/>
      <w:tbl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single" w:sz="8" w:space="0" w:color="7543BC" w:themeColor="accent1" w:themeTint="BF"/>
      </w:tblBorders>
    </w:tblPr>
    <w:tblStylePr w:type="firstRow">
      <w:pPr>
        <w:spacing w:before="0" w:after="0" w:line="240" w:lineRule="auto"/>
      </w:pPr>
      <w:rPr>
        <w:b/>
        <w:bCs/>
        <w:color w:val="FFFFFF" w:themeColor="background1"/>
      </w:rPr>
      <w:tblPr/>
      <w:tcPr>
        <w:tc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nil"/>
          <w:insideV w:val="nil"/>
        </w:tcBorders>
        <w:shd w:val="clear" w:color="auto" w:fill="4F2D7F" w:themeFill="accent1"/>
      </w:tcPr>
    </w:tblStylePr>
    <w:tblStylePr w:type="lastRow">
      <w:pPr>
        <w:spacing w:before="0" w:after="0" w:line="240" w:lineRule="auto"/>
      </w:pPr>
      <w:rPr>
        <w:b/>
        <w:bCs/>
      </w:rPr>
      <w:tblPr/>
      <w:tcPr>
        <w:tcBorders>
          <w:top w:val="double" w:sz="6"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nil"/>
          <w:insideV w:val="nil"/>
        </w:tcBorders>
      </w:tcPr>
    </w:tblStylePr>
    <w:tblStylePr w:type="firstCol">
      <w:rPr>
        <w:b/>
        <w:bCs/>
      </w:rPr>
    </w:tblStylePr>
    <w:tblStylePr w:type="lastCol">
      <w:rPr>
        <w:b/>
        <w:bCs/>
      </w:rPr>
    </w:tblStylePr>
    <w:tblStylePr w:type="band1Vert">
      <w:tblPr/>
      <w:tcPr>
        <w:shd w:val="clear" w:color="auto" w:fill="D1C1E9" w:themeFill="accent1" w:themeFillTint="3F"/>
      </w:tcPr>
    </w:tblStylePr>
    <w:tblStylePr w:type="band1Horz">
      <w:tblPr/>
      <w:tcPr>
        <w:tcBorders>
          <w:insideH w:val="nil"/>
          <w:insideV w:val="nil"/>
        </w:tcBorders>
        <w:shd w:val="clear" w:color="auto" w:fill="D1C1E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D5DC6"/>
    <w:tblPr>
      <w:tblStyleRowBandSize w:val="1"/>
      <w:tblStyleColBandSize w:val="1"/>
      <w:tbl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single" w:sz="8" w:space="0" w:color="FF1366" w:themeColor="accent2" w:themeTint="BF"/>
      </w:tblBorders>
    </w:tblPr>
    <w:tblStylePr w:type="firstRow">
      <w:pPr>
        <w:spacing w:before="0" w:after="0" w:line="240" w:lineRule="auto"/>
      </w:pPr>
      <w:rPr>
        <w:b/>
        <w:bCs/>
        <w:color w:val="FFFFFF" w:themeColor="background1"/>
      </w:rPr>
      <w:tblPr/>
      <w:tcPr>
        <w:tc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nil"/>
          <w:insideV w:val="nil"/>
        </w:tcBorders>
        <w:shd w:val="clear" w:color="auto" w:fill="C30045" w:themeFill="accent2"/>
      </w:tcPr>
    </w:tblStylePr>
    <w:tblStylePr w:type="lastRow">
      <w:pPr>
        <w:spacing w:before="0" w:after="0" w:line="240" w:lineRule="auto"/>
      </w:pPr>
      <w:rPr>
        <w:b/>
        <w:bCs/>
      </w:rPr>
      <w:tblPr/>
      <w:tcPr>
        <w:tcBorders>
          <w:top w:val="double" w:sz="6"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1CC" w:themeFill="accent2" w:themeFillTint="3F"/>
      </w:tcPr>
    </w:tblStylePr>
    <w:tblStylePr w:type="band1Horz">
      <w:tblPr/>
      <w:tcPr>
        <w:tcBorders>
          <w:insideH w:val="nil"/>
          <w:insideV w:val="nil"/>
        </w:tcBorders>
        <w:shd w:val="clear" w:color="auto" w:fill="FFB1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D5DC6"/>
    <w:tblPr>
      <w:tblStyleRowBandSize w:val="1"/>
      <w:tblStyleColBandSize w:val="1"/>
      <w:tbl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single" w:sz="8" w:space="0" w:color="F80FDC" w:themeColor="accent3" w:themeTint="BF"/>
      </w:tblBorders>
    </w:tblPr>
    <w:tblStylePr w:type="firstRow">
      <w:pPr>
        <w:spacing w:before="0" w:after="0" w:line="240" w:lineRule="auto"/>
      </w:pPr>
      <w:rPr>
        <w:b/>
        <w:bCs/>
        <w:color w:val="FFFFFF" w:themeColor="background1"/>
      </w:rPr>
      <w:tblPr/>
      <w:tcPr>
        <w:tc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nil"/>
          <w:insideV w:val="nil"/>
        </w:tcBorders>
        <w:shd w:val="clear" w:color="auto" w:fill="B1059D" w:themeFill="accent3"/>
      </w:tcPr>
    </w:tblStylePr>
    <w:tblStylePr w:type="lastRow">
      <w:pPr>
        <w:spacing w:before="0" w:after="0" w:line="240" w:lineRule="auto"/>
      </w:pPr>
      <w:rPr>
        <w:b/>
        <w:bCs/>
      </w:rPr>
      <w:tblPr/>
      <w:tcPr>
        <w:tcBorders>
          <w:top w:val="double" w:sz="6"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nil"/>
          <w:insideV w:val="nil"/>
        </w:tcBorders>
      </w:tcPr>
    </w:tblStylePr>
    <w:tblStylePr w:type="firstCol">
      <w:rPr>
        <w:b/>
        <w:bCs/>
      </w:rPr>
    </w:tblStylePr>
    <w:tblStylePr w:type="lastCol">
      <w:rPr>
        <w:b/>
        <w:bCs/>
      </w:rPr>
    </w:tblStylePr>
    <w:tblStylePr w:type="band1Vert">
      <w:tblPr/>
      <w:tcPr>
        <w:shd w:val="clear" w:color="auto" w:fill="FCAFF3" w:themeFill="accent3" w:themeFillTint="3F"/>
      </w:tcPr>
    </w:tblStylePr>
    <w:tblStylePr w:type="band1Horz">
      <w:tblPr/>
      <w:tcPr>
        <w:tcBorders>
          <w:insideH w:val="nil"/>
          <w:insideV w:val="nil"/>
        </w:tcBorders>
        <w:shd w:val="clear" w:color="auto" w:fill="FCAFF3"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D5DC6"/>
    <w:tblPr>
      <w:tblStyleRowBandSize w:val="1"/>
      <w:tblStyleColBandSize w:val="1"/>
      <w:tbl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single" w:sz="8" w:space="0" w:color="00D1A2" w:themeColor="accent4" w:themeTint="BF"/>
      </w:tblBorders>
    </w:tblPr>
    <w:tblStylePr w:type="firstRow">
      <w:pPr>
        <w:spacing w:before="0" w:after="0" w:line="240" w:lineRule="auto"/>
      </w:pPr>
      <w:rPr>
        <w:b/>
        <w:bCs/>
        <w:color w:val="FFFFFF" w:themeColor="background1"/>
      </w:rPr>
      <w:tblPr/>
      <w:tcPr>
        <w:tc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nil"/>
          <w:insideV w:val="nil"/>
        </w:tcBorders>
        <w:shd w:val="clear" w:color="auto" w:fill="006D55" w:themeFill="accent4"/>
      </w:tcPr>
    </w:tblStylePr>
    <w:tblStylePr w:type="lastRow">
      <w:pPr>
        <w:spacing w:before="0" w:after="0" w:line="240" w:lineRule="auto"/>
      </w:pPr>
      <w:rPr>
        <w:b/>
        <w:bCs/>
      </w:rPr>
      <w:tblPr/>
      <w:tcPr>
        <w:tcBorders>
          <w:top w:val="double" w:sz="6"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nil"/>
          <w:insideV w:val="nil"/>
        </w:tcBorders>
      </w:tcPr>
    </w:tblStylePr>
    <w:tblStylePr w:type="firstCol">
      <w:rPr>
        <w:b/>
        <w:bCs/>
      </w:rPr>
    </w:tblStylePr>
    <w:tblStylePr w:type="lastCol">
      <w:rPr>
        <w:b/>
        <w:bCs/>
      </w:rPr>
    </w:tblStylePr>
    <w:tblStylePr w:type="band1Vert">
      <w:tblPr/>
      <w:tcPr>
        <w:shd w:val="clear" w:color="auto" w:fill="9BFFE8" w:themeFill="accent4" w:themeFillTint="3F"/>
      </w:tcPr>
    </w:tblStylePr>
    <w:tblStylePr w:type="band1Horz">
      <w:tblPr/>
      <w:tcPr>
        <w:tcBorders>
          <w:insideH w:val="nil"/>
          <w:insideV w:val="nil"/>
        </w:tcBorders>
        <w:shd w:val="clear" w:color="auto" w:fill="9BFF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D5DC6"/>
    <w:tblPr>
      <w:tblStyleRowBandSize w:val="1"/>
      <w:tblStyleColBandSize w:val="1"/>
      <w:tbl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single" w:sz="8" w:space="0" w:color="ACFF0A" w:themeColor="accent5" w:themeTint="BF"/>
      </w:tblBorders>
    </w:tblPr>
    <w:tblStylePr w:type="firstRow">
      <w:pPr>
        <w:spacing w:before="0" w:after="0" w:line="240" w:lineRule="auto"/>
      </w:pPr>
      <w:rPr>
        <w:b/>
        <w:bCs/>
        <w:color w:val="FFFFFF" w:themeColor="background1"/>
      </w:rPr>
      <w:tblPr/>
      <w:tcPr>
        <w:tc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nil"/>
          <w:insideV w:val="nil"/>
        </w:tcBorders>
        <w:shd w:val="clear" w:color="auto" w:fill="7AB800" w:themeFill="accent5"/>
      </w:tcPr>
    </w:tblStylePr>
    <w:tblStylePr w:type="lastRow">
      <w:pPr>
        <w:spacing w:before="0" w:after="0" w:line="240" w:lineRule="auto"/>
      </w:pPr>
      <w:rPr>
        <w:b/>
        <w:bCs/>
      </w:rPr>
      <w:tblPr/>
      <w:tcPr>
        <w:tcBorders>
          <w:top w:val="double" w:sz="6"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nil"/>
          <w:insideV w:val="nil"/>
        </w:tcBorders>
      </w:tcPr>
    </w:tblStylePr>
    <w:tblStylePr w:type="firstCol">
      <w:rPr>
        <w:b/>
        <w:bCs/>
      </w:rPr>
    </w:tblStylePr>
    <w:tblStylePr w:type="lastCol">
      <w:rPr>
        <w:b/>
        <w:bCs/>
      </w:rPr>
    </w:tblStylePr>
    <w:tblStylePr w:type="band1Vert">
      <w:tblPr/>
      <w:tcPr>
        <w:shd w:val="clear" w:color="auto" w:fill="E3FFAE" w:themeFill="accent5" w:themeFillTint="3F"/>
      </w:tcPr>
    </w:tblStylePr>
    <w:tblStylePr w:type="band1Horz">
      <w:tblPr/>
      <w:tcPr>
        <w:tcBorders>
          <w:insideH w:val="nil"/>
          <w:insideV w:val="nil"/>
        </w:tcBorders>
        <w:shd w:val="clear" w:color="auto" w:fill="E3FFAE"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D5DC6"/>
    <w:tblPr>
      <w:tblStyleRowBandSize w:val="1"/>
      <w:tblStyleColBandSize w:val="1"/>
      <w:tbl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single" w:sz="8" w:space="0" w:color="FF9A40" w:themeColor="accent6" w:themeTint="BF"/>
      </w:tblBorders>
    </w:tblPr>
    <w:tblStylePr w:type="firstRow">
      <w:pPr>
        <w:spacing w:before="0" w:after="0" w:line="240" w:lineRule="auto"/>
      </w:pPr>
      <w:rPr>
        <w:b/>
        <w:bCs/>
        <w:color w:val="FFFFFF" w:themeColor="background1"/>
      </w:rPr>
      <w:tblPr/>
      <w:tcPr>
        <w:tc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nil"/>
          <w:insideV w:val="nil"/>
        </w:tcBorders>
        <w:shd w:val="clear" w:color="auto" w:fill="FF7900" w:themeFill="accent6"/>
      </w:tcPr>
    </w:tblStylePr>
    <w:tblStylePr w:type="lastRow">
      <w:pPr>
        <w:spacing w:before="0" w:after="0" w:line="240" w:lineRule="auto"/>
      </w:pPr>
      <w:rPr>
        <w:b/>
        <w:bCs/>
      </w:rPr>
      <w:tblPr/>
      <w:tcPr>
        <w:tcBorders>
          <w:top w:val="double" w:sz="6"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DDC0" w:themeFill="accent6" w:themeFillTint="3F"/>
      </w:tcPr>
    </w:tblStylePr>
    <w:tblStylePr w:type="band1Horz">
      <w:tblPr/>
      <w:tcPr>
        <w:tcBorders>
          <w:insideH w:val="nil"/>
          <w:insideV w:val="nil"/>
        </w:tcBorders>
        <w:shd w:val="clear" w:color="auto" w:fill="FFDD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2D7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2D7F" w:themeFill="accent1"/>
      </w:tcPr>
    </w:tblStylePr>
    <w:tblStylePr w:type="lastCol">
      <w:rPr>
        <w:b/>
        <w:bCs/>
        <w:color w:val="FFFFFF" w:themeColor="background1"/>
      </w:rPr>
      <w:tblPr/>
      <w:tcPr>
        <w:tcBorders>
          <w:left w:val="nil"/>
          <w:right w:val="nil"/>
          <w:insideH w:val="nil"/>
          <w:insideV w:val="nil"/>
        </w:tcBorders>
        <w:shd w:val="clear" w:color="auto" w:fill="4F2D7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30045"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30045" w:themeFill="accent2"/>
      </w:tcPr>
    </w:tblStylePr>
    <w:tblStylePr w:type="lastCol">
      <w:rPr>
        <w:b/>
        <w:bCs/>
        <w:color w:val="FFFFFF" w:themeColor="background1"/>
      </w:rPr>
      <w:tblPr/>
      <w:tcPr>
        <w:tcBorders>
          <w:left w:val="nil"/>
          <w:right w:val="nil"/>
          <w:insideH w:val="nil"/>
          <w:insideV w:val="nil"/>
        </w:tcBorders>
        <w:shd w:val="clear" w:color="auto" w:fill="C30045"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1059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1059D" w:themeFill="accent3"/>
      </w:tcPr>
    </w:tblStylePr>
    <w:tblStylePr w:type="lastCol">
      <w:rPr>
        <w:b/>
        <w:bCs/>
        <w:color w:val="FFFFFF" w:themeColor="background1"/>
      </w:rPr>
      <w:tblPr/>
      <w:tcPr>
        <w:tcBorders>
          <w:left w:val="nil"/>
          <w:right w:val="nil"/>
          <w:insideH w:val="nil"/>
          <w:insideV w:val="nil"/>
        </w:tcBorders>
        <w:shd w:val="clear" w:color="auto" w:fill="B1059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6D5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6D55" w:themeFill="accent4"/>
      </w:tcPr>
    </w:tblStylePr>
    <w:tblStylePr w:type="lastCol">
      <w:rPr>
        <w:b/>
        <w:bCs/>
        <w:color w:val="FFFFFF" w:themeColor="background1"/>
      </w:rPr>
      <w:tblPr/>
      <w:tcPr>
        <w:tcBorders>
          <w:left w:val="nil"/>
          <w:right w:val="nil"/>
          <w:insideH w:val="nil"/>
          <w:insideV w:val="nil"/>
        </w:tcBorders>
        <w:shd w:val="clear" w:color="auto" w:fill="006D5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AB8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AB800" w:themeFill="accent5"/>
      </w:tcPr>
    </w:tblStylePr>
    <w:tblStylePr w:type="lastCol">
      <w:rPr>
        <w:b/>
        <w:bCs/>
        <w:color w:val="FFFFFF" w:themeColor="background1"/>
      </w:rPr>
      <w:tblPr/>
      <w:tcPr>
        <w:tcBorders>
          <w:left w:val="nil"/>
          <w:right w:val="nil"/>
          <w:insideH w:val="nil"/>
          <w:insideV w:val="nil"/>
        </w:tcBorders>
        <w:shd w:val="clear" w:color="auto" w:fill="7AB8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79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7900" w:themeFill="accent6"/>
      </w:tcPr>
    </w:tblStylePr>
    <w:tblStylePr w:type="lastCol">
      <w:rPr>
        <w:b/>
        <w:bCs/>
        <w:color w:val="FFFFFF" w:themeColor="background1"/>
      </w:rPr>
      <w:tblPr/>
      <w:tcPr>
        <w:tcBorders>
          <w:left w:val="nil"/>
          <w:right w:val="nil"/>
          <w:insideH w:val="nil"/>
          <w:insideV w:val="nil"/>
        </w:tcBorders>
        <w:shd w:val="clear" w:color="auto" w:fill="FF79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rsid w:val="00DD5DC6"/>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DD5DC6"/>
    <w:rPr>
      <w:rFonts w:asciiTheme="majorHAnsi" w:eastAsiaTheme="majorEastAsia" w:hAnsiTheme="majorHAnsi" w:cstheme="majorBidi"/>
      <w:sz w:val="24"/>
      <w:szCs w:val="24"/>
      <w:shd w:val="pct20" w:color="auto" w:fill="auto"/>
      <w:lang w:val="en-US"/>
    </w:rPr>
  </w:style>
  <w:style w:type="paragraph" w:styleId="NoSpacing">
    <w:name w:val="No Spacing"/>
    <w:uiPriority w:val="1"/>
    <w:rsid w:val="00DD5DC6"/>
    <w:rPr>
      <w:rFonts w:ascii="Garamond" w:hAnsi="Garamond" w:cs="Arial"/>
      <w:sz w:val="22"/>
    </w:rPr>
  </w:style>
  <w:style w:type="paragraph" w:styleId="NormalWeb">
    <w:name w:val="Normal (Web)"/>
    <w:basedOn w:val="Normal"/>
    <w:rsid w:val="00DD5DC6"/>
    <w:rPr>
      <w:rFonts w:ascii="Times New Roman" w:hAnsi="Times New Roman" w:cs="Times New Roman"/>
      <w:sz w:val="24"/>
      <w:szCs w:val="24"/>
    </w:rPr>
  </w:style>
  <w:style w:type="paragraph" w:styleId="NormalIndent">
    <w:name w:val="Normal Indent"/>
    <w:basedOn w:val="Normal"/>
    <w:rsid w:val="00DD5DC6"/>
    <w:pPr>
      <w:ind w:left="720"/>
    </w:pPr>
  </w:style>
  <w:style w:type="paragraph" w:styleId="NoteHeading">
    <w:name w:val="Note Heading"/>
    <w:basedOn w:val="Normal"/>
    <w:next w:val="Normal"/>
    <w:link w:val="NoteHeadingChar"/>
    <w:rsid w:val="00DD5DC6"/>
  </w:style>
  <w:style w:type="character" w:customStyle="1" w:styleId="NoteHeadingChar">
    <w:name w:val="Note Heading Char"/>
    <w:basedOn w:val="DefaultParagraphFont"/>
    <w:link w:val="NoteHeading"/>
    <w:rsid w:val="00DD5DC6"/>
    <w:rPr>
      <w:rFonts w:ascii="Garamond" w:hAnsi="Garamond" w:cs="Arial"/>
      <w:sz w:val="22"/>
      <w:lang w:val="en-US"/>
    </w:rPr>
  </w:style>
  <w:style w:type="character" w:styleId="PageNumber">
    <w:name w:val="page number"/>
    <w:basedOn w:val="DefaultParagraphFont"/>
    <w:rsid w:val="00DD5DC6"/>
    <w:rPr>
      <w:lang w:val="en-US"/>
    </w:rPr>
  </w:style>
  <w:style w:type="character" w:styleId="PlaceholderText">
    <w:name w:val="Placeholder Text"/>
    <w:basedOn w:val="DefaultParagraphFont"/>
    <w:uiPriority w:val="99"/>
    <w:semiHidden/>
    <w:rsid w:val="00DD5DC6"/>
    <w:rPr>
      <w:color w:val="808080"/>
      <w:lang w:val="en-US"/>
    </w:rPr>
  </w:style>
  <w:style w:type="paragraph" w:styleId="PlainText">
    <w:name w:val="Plain Text"/>
    <w:basedOn w:val="Normal"/>
    <w:link w:val="PlainTextChar"/>
    <w:rsid w:val="00DD5DC6"/>
    <w:rPr>
      <w:rFonts w:ascii="Consolas" w:hAnsi="Consolas"/>
      <w:sz w:val="21"/>
      <w:szCs w:val="21"/>
    </w:rPr>
  </w:style>
  <w:style w:type="character" w:customStyle="1" w:styleId="PlainTextChar">
    <w:name w:val="Plain Text Char"/>
    <w:basedOn w:val="DefaultParagraphFont"/>
    <w:link w:val="PlainText"/>
    <w:rsid w:val="00DD5DC6"/>
    <w:rPr>
      <w:rFonts w:ascii="Consolas" w:hAnsi="Consolas" w:cs="Arial"/>
      <w:sz w:val="21"/>
      <w:szCs w:val="21"/>
      <w:lang w:val="en-US"/>
    </w:rPr>
  </w:style>
  <w:style w:type="paragraph" w:styleId="Salutation">
    <w:name w:val="Salutation"/>
    <w:basedOn w:val="Normal"/>
    <w:next w:val="Normal"/>
    <w:link w:val="SalutationChar"/>
    <w:rsid w:val="00DD5DC6"/>
  </w:style>
  <w:style w:type="character" w:customStyle="1" w:styleId="SalutationChar">
    <w:name w:val="Salutation Char"/>
    <w:basedOn w:val="DefaultParagraphFont"/>
    <w:link w:val="Salutation"/>
    <w:rsid w:val="00DD5DC6"/>
    <w:rPr>
      <w:rFonts w:ascii="Garamond" w:hAnsi="Garamond" w:cs="Arial"/>
      <w:sz w:val="22"/>
      <w:lang w:val="en-US"/>
    </w:rPr>
  </w:style>
  <w:style w:type="paragraph" w:styleId="Signature">
    <w:name w:val="Signature"/>
    <w:basedOn w:val="Normal"/>
    <w:link w:val="SignatureChar"/>
    <w:rsid w:val="00DD5DC6"/>
    <w:pPr>
      <w:ind w:left="4320"/>
    </w:pPr>
  </w:style>
  <w:style w:type="character" w:customStyle="1" w:styleId="SignatureChar">
    <w:name w:val="Signature Char"/>
    <w:basedOn w:val="DefaultParagraphFont"/>
    <w:link w:val="Signature"/>
    <w:rsid w:val="00DD5DC6"/>
    <w:rPr>
      <w:rFonts w:ascii="Garamond" w:hAnsi="Garamond" w:cs="Arial"/>
      <w:sz w:val="22"/>
      <w:lang w:val="en-US"/>
    </w:rPr>
  </w:style>
  <w:style w:type="character" w:styleId="Strong">
    <w:name w:val="Strong"/>
    <w:basedOn w:val="DefaultParagraphFont"/>
    <w:rsid w:val="00DD5DC6"/>
    <w:rPr>
      <w:b/>
      <w:bCs/>
      <w:lang w:val="en-US"/>
    </w:rPr>
  </w:style>
  <w:style w:type="character" w:styleId="SubtleEmphasis">
    <w:name w:val="Subtle Emphasis"/>
    <w:basedOn w:val="DefaultParagraphFont"/>
    <w:uiPriority w:val="19"/>
    <w:rsid w:val="00DD5DC6"/>
    <w:rPr>
      <w:i/>
      <w:iCs/>
      <w:color w:val="808080" w:themeColor="text1" w:themeTint="7F"/>
      <w:lang w:val="en-US"/>
    </w:rPr>
  </w:style>
  <w:style w:type="character" w:styleId="SubtleReference">
    <w:name w:val="Subtle Reference"/>
    <w:basedOn w:val="DefaultParagraphFont"/>
    <w:uiPriority w:val="31"/>
    <w:rsid w:val="00DD5DC6"/>
    <w:rPr>
      <w:smallCaps/>
      <w:color w:val="C30045" w:themeColor="accent2"/>
      <w:u w:val="single"/>
      <w:lang w:val="en-US"/>
    </w:rPr>
  </w:style>
  <w:style w:type="table" w:styleId="Table3Deffects1">
    <w:name w:val="Table 3D effects 1"/>
    <w:basedOn w:val="TableNormal"/>
    <w:rsid w:val="00DD5DC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DD5DC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DD5DC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DD5DC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DD5DC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DD5DC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DD5DC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DD5DC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DD5DC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DD5DC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DD5DC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DD5DC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DD5DC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DD5DC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DD5DC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DD5DC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DD5DC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DD5DC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DD5DC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DD5DC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DD5DC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DD5DC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DD5DC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DD5DC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DD5DC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DD5DC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DD5DC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DD5DC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DD5DC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DD5DC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DD5DC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DD5DC6"/>
    <w:pPr>
      <w:ind w:left="220" w:hanging="220"/>
    </w:pPr>
  </w:style>
  <w:style w:type="paragraph" w:styleId="TableofFigures">
    <w:name w:val="table of figures"/>
    <w:basedOn w:val="Normal"/>
    <w:next w:val="Normal"/>
    <w:rsid w:val="00DD5DC6"/>
  </w:style>
  <w:style w:type="table" w:styleId="TableProfessional">
    <w:name w:val="Table Professional"/>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DD5DC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DD5DC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DD5DC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DD5DC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DD5DC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DD5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DD5DC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DD5DC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DD5DC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rsid w:val="00DD5DC6"/>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rsid w:val="00DD5DC6"/>
    <w:pPr>
      <w:spacing w:after="100"/>
      <w:ind w:left="660"/>
    </w:pPr>
  </w:style>
  <w:style w:type="paragraph" w:styleId="TOC5">
    <w:name w:val="toc 5"/>
    <w:basedOn w:val="Normal"/>
    <w:next w:val="Normal"/>
    <w:autoRedefine/>
    <w:rsid w:val="00DD5DC6"/>
    <w:pPr>
      <w:spacing w:after="100"/>
      <w:ind w:left="880"/>
    </w:pPr>
  </w:style>
  <w:style w:type="paragraph" w:styleId="TOC6">
    <w:name w:val="toc 6"/>
    <w:basedOn w:val="Normal"/>
    <w:next w:val="Normal"/>
    <w:autoRedefine/>
    <w:rsid w:val="00DD5DC6"/>
    <w:pPr>
      <w:spacing w:after="100"/>
      <w:ind w:left="1100"/>
    </w:pPr>
  </w:style>
  <w:style w:type="paragraph" w:styleId="TOC7">
    <w:name w:val="toc 7"/>
    <w:basedOn w:val="Normal"/>
    <w:next w:val="Normal"/>
    <w:autoRedefine/>
    <w:rsid w:val="00DD5DC6"/>
    <w:pPr>
      <w:spacing w:after="100"/>
      <w:ind w:left="1320"/>
    </w:pPr>
  </w:style>
  <w:style w:type="paragraph" w:styleId="TOC8">
    <w:name w:val="toc 8"/>
    <w:basedOn w:val="Normal"/>
    <w:next w:val="Normal"/>
    <w:autoRedefine/>
    <w:rsid w:val="00DD5DC6"/>
    <w:pPr>
      <w:spacing w:after="100"/>
      <w:ind w:left="1540"/>
    </w:pPr>
  </w:style>
  <w:style w:type="paragraph" w:styleId="TOC9">
    <w:name w:val="toc 9"/>
    <w:basedOn w:val="Normal"/>
    <w:next w:val="Normal"/>
    <w:autoRedefine/>
    <w:rsid w:val="00DD5DC6"/>
    <w:pPr>
      <w:spacing w:after="100"/>
      <w:ind w:left="1760"/>
    </w:pPr>
  </w:style>
  <w:style w:type="paragraph" w:styleId="TOCHeading">
    <w:name w:val="TOC Heading"/>
    <w:basedOn w:val="Heading1"/>
    <w:next w:val="Normal"/>
    <w:uiPriority w:val="39"/>
    <w:semiHidden/>
    <w:unhideWhenUsed/>
    <w:qFormat/>
    <w:rsid w:val="00DD5DC6"/>
    <w:pPr>
      <w:keepLines/>
      <w:spacing w:before="480" w:line="240" w:lineRule="auto"/>
      <w:outlineLvl w:val="9"/>
    </w:pPr>
    <w:rPr>
      <w:rFonts w:asciiTheme="majorHAnsi" w:eastAsiaTheme="majorEastAsia" w:hAnsiTheme="majorHAnsi" w:cstheme="majorBidi"/>
      <w:b/>
      <w:color w:val="3A215E" w:themeColor="accent1" w:themeShade="BF"/>
      <w:kern w:val="0"/>
      <w:sz w:val="28"/>
    </w:rPr>
  </w:style>
  <w:style w:type="character" w:customStyle="1" w:styleId="FooterChar">
    <w:name w:val="Footer Char"/>
    <w:basedOn w:val="DefaultParagraphFont"/>
    <w:link w:val="Footer"/>
    <w:uiPriority w:val="99"/>
    <w:rsid w:val="00E46EBA"/>
    <w:rPr>
      <w:rFonts w:ascii="Arial" w:hAnsi="Arial" w:cs="Arial"/>
      <w:b/>
      <w:color w:val="747678"/>
      <w:sz w:val="13"/>
    </w:rPr>
  </w:style>
  <w:style w:type="character" w:customStyle="1" w:styleId="Heading1Char">
    <w:name w:val="Heading 1 Char"/>
    <w:basedOn w:val="DefaultParagraphFont"/>
    <w:link w:val="Heading1"/>
    <w:rsid w:val="00AC06AF"/>
    <w:rPr>
      <w:rFonts w:ascii="Arial Black" w:hAnsi="Arial Black" w:cs="Arial"/>
      <w:bCs/>
      <w:color w:val="4F2D7F"/>
      <w:kern w:val="32"/>
      <w:sz w:val="19"/>
      <w:szCs w:val="28"/>
    </w:rPr>
  </w:style>
  <w:style w:type="character" w:customStyle="1" w:styleId="Heading2Char">
    <w:name w:val="Heading 2 Char"/>
    <w:basedOn w:val="DefaultParagraphFont"/>
    <w:link w:val="Heading2"/>
    <w:rsid w:val="00AC06AF"/>
    <w:rPr>
      <w:rFonts w:ascii="Arial Black" w:hAnsi="Arial Black" w:cs="Arial"/>
      <w:kern w:val="32"/>
      <w:sz w:val="19"/>
      <w:szCs w:val="24"/>
    </w:rPr>
  </w:style>
  <w:style w:type="character" w:customStyle="1" w:styleId="Heading3Char">
    <w:name w:val="Heading 3 Char"/>
    <w:basedOn w:val="DefaultParagraphFont"/>
    <w:link w:val="Heading3"/>
    <w:rsid w:val="00AC06AF"/>
    <w:rPr>
      <w:rFonts w:ascii="Arial" w:hAnsi="Arial" w:cs="Arial"/>
      <w:bCs/>
      <w:kern w:val="32"/>
      <w:sz w:val="19"/>
      <w:szCs w:val="22"/>
    </w:rPr>
  </w:style>
  <w:style w:type="table" w:styleId="GridTable5Dark-Accent1">
    <w:name w:val="Grid Table 5 Dark Accent 1"/>
    <w:basedOn w:val="TableNormal"/>
    <w:uiPriority w:val="50"/>
    <w:rsid w:val="00F0766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CDED"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2D7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2D7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2D7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2D7F" w:themeFill="accent1"/>
      </w:tcPr>
    </w:tblStylePr>
    <w:tblStylePr w:type="band1Vert">
      <w:tblPr/>
      <w:tcPr>
        <w:shd w:val="clear" w:color="auto" w:fill="B59BDB" w:themeFill="accent1" w:themeFillTint="66"/>
      </w:tcPr>
    </w:tblStylePr>
    <w:tblStylePr w:type="band1Horz">
      <w:tblPr/>
      <w:tcPr>
        <w:shd w:val="clear" w:color="auto" w:fill="B59BDB" w:themeFill="accent1" w:themeFillTint="66"/>
      </w:tcPr>
    </w:tblStylePr>
  </w:style>
  <w:style w:type="table" w:styleId="GridTable4">
    <w:name w:val="Grid Table 4"/>
    <w:basedOn w:val="TableNormal"/>
    <w:uiPriority w:val="49"/>
    <w:rsid w:val="00CC031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apple-converted-space">
    <w:name w:val="apple-converted-space"/>
    <w:basedOn w:val="DefaultParagraphFont"/>
    <w:rsid w:val="00AE07A4"/>
  </w:style>
  <w:style w:type="paragraph" w:customStyle="1" w:styleId="Default">
    <w:name w:val="Default"/>
    <w:rsid w:val="0094464C"/>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6120553">
      <w:bodyDiv w:val="1"/>
      <w:marLeft w:val="0"/>
      <w:marRight w:val="0"/>
      <w:marTop w:val="0"/>
      <w:marBottom w:val="0"/>
      <w:divBdr>
        <w:top w:val="none" w:sz="0" w:space="0" w:color="auto"/>
        <w:left w:val="none" w:sz="0" w:space="0" w:color="auto"/>
        <w:bottom w:val="none" w:sz="0" w:space="0" w:color="auto"/>
        <w:right w:val="none" w:sz="0" w:space="0" w:color="auto"/>
      </w:divBdr>
    </w:div>
    <w:div w:id="515849212">
      <w:bodyDiv w:val="1"/>
      <w:marLeft w:val="0"/>
      <w:marRight w:val="0"/>
      <w:marTop w:val="0"/>
      <w:marBottom w:val="0"/>
      <w:divBdr>
        <w:top w:val="none" w:sz="0" w:space="0" w:color="auto"/>
        <w:left w:val="none" w:sz="0" w:space="0" w:color="auto"/>
        <w:bottom w:val="none" w:sz="0" w:space="0" w:color="auto"/>
        <w:right w:val="none" w:sz="0" w:space="0" w:color="auto"/>
      </w:divBdr>
    </w:div>
    <w:div w:id="1024668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Grant Thornton">
  <a:themeElements>
    <a:clrScheme name="Grant Thornton">
      <a:dk1>
        <a:sysClr val="windowText" lastClr="000000"/>
      </a:dk1>
      <a:lt1>
        <a:sysClr val="window" lastClr="FFFFFF"/>
      </a:lt1>
      <a:dk2>
        <a:srgbClr val="824BB0"/>
      </a:dk2>
      <a:lt2>
        <a:srgbClr val="747678"/>
      </a:lt2>
      <a:accent1>
        <a:srgbClr val="4F2D7F"/>
      </a:accent1>
      <a:accent2>
        <a:srgbClr val="C30045"/>
      </a:accent2>
      <a:accent3>
        <a:srgbClr val="B1059D"/>
      </a:accent3>
      <a:accent4>
        <a:srgbClr val="006D55"/>
      </a:accent4>
      <a:accent5>
        <a:srgbClr val="7AB800"/>
      </a:accent5>
      <a:accent6>
        <a:srgbClr val="FF7900"/>
      </a:accent6>
      <a:hlink>
        <a:srgbClr val="0000FF"/>
      </a:hlink>
      <a:folHlink>
        <a:srgbClr val="800080"/>
      </a:folHlink>
    </a:clrScheme>
    <a:fontScheme name="Grant Thornton">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White">
      <a:srgbClr val="FFFFFF"/>
    </a:custClr>
    <a:custClr name="Purple">
      <a:srgbClr val="4F2D7F"/>
    </a:custClr>
    <a:custClr name="Green">
      <a:srgbClr val="009B76"/>
    </a:custClr>
    <a:custClr name="Orange">
      <a:srgbClr val="FF7900"/>
    </a:custClr>
    <a:custClr name="Red">
      <a:srgbClr val="C30045"/>
    </a:custClr>
    <a:custClr name="Fuchsia">
      <a:srgbClr val="B1059D"/>
    </a:custClr>
    <a:custClr name="Lavender">
      <a:srgbClr val="824BB0"/>
    </a:custClr>
    <a:custClr name="Yellow">
      <a:srgbClr val="FECB00"/>
    </a:custClr>
    <a:custClr name="Mustard">
      <a:srgbClr val="EAAB00"/>
    </a:custClr>
    <a:custClr name="Terracotta">
      <a:srgbClr val="C75B12"/>
    </a:custClr>
    <a:custClr name="Burgundy">
      <a:srgbClr val="882345"/>
    </a:custClr>
    <a:custClr name="Blue">
      <a:srgbClr val="0046AD"/>
    </a:custClr>
    <a:custClr name="Emerald">
      <a:srgbClr val="006D55"/>
    </a:custClr>
    <a:custClr name="Lime">
      <a:srgbClr val="7AB800"/>
    </a:custClr>
    <a:custClr name="Olive">
      <a:srgbClr val="8E9300"/>
    </a:custClr>
    <a:custClr name="Steel">
      <a:srgbClr val="747678"/>
    </a:custClr>
    <a:custClr name="Black">
      <a:srgbClr val="000000"/>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1E82087E242F841BB29673BD29AE555" ma:contentTypeVersion="0" ma:contentTypeDescription="Create a new document." ma:contentTypeScope="" ma:versionID="e4165a4f357fba904bde472d6b631464">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01ACBB-3000-403C-8D44-6491E5A36A36}">
  <ds:schemaRefs>
    <ds:schemaRef ds:uri="http://schemas.microsoft.com/office/2006/metadata/properties"/>
    <ds:schemaRef ds:uri="http://purl.org/dc/terms/"/>
    <ds:schemaRef ds:uri="http://schemas.openxmlformats.org/package/2006/metadata/core-properties"/>
    <ds:schemaRef ds:uri="http://purl.org/dc/dcmitype/"/>
    <ds:schemaRef ds:uri="http://schemas.microsoft.com/office/2006/documentManagement/types"/>
    <ds:schemaRef ds:uri="http://purl.org/dc/elements/1.1/"/>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540CC440-B237-4803-B44E-D84CED97CCA6}">
  <ds:schemaRefs>
    <ds:schemaRef ds:uri="http://schemas.microsoft.com/sharepoint/v3/contenttype/forms"/>
  </ds:schemaRefs>
</ds:datastoreItem>
</file>

<file path=customXml/itemProps3.xml><?xml version="1.0" encoding="utf-8"?>
<ds:datastoreItem xmlns:ds="http://schemas.openxmlformats.org/officeDocument/2006/customXml" ds:itemID="{8FEB0579-C352-4D85-9298-595CA385AB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9DA01649-71B4-429A-AC8C-510069A1E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2037</Words>
  <Characters>11616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Grant Thornton LLP</Company>
  <LinksUpToDate>false</LinksUpToDate>
  <CharactersWithSpaces>13626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Garcia, Susannah</dc:creator>
  <cp:keywords/>
  <dc:description/>
  <cp:lastModifiedBy>Curtis, Michael R CIV OSD OUSD P-R (US)</cp:lastModifiedBy>
  <cp:revision>2</cp:revision>
  <cp:lastPrinted>2014-10-08T16:47:00Z</cp:lastPrinted>
  <dcterms:created xsi:type="dcterms:W3CDTF">2019-08-20T20:28:00Z</dcterms:created>
  <dcterms:modified xsi:type="dcterms:W3CDTF">2019-08-20T20:28:00Z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0x01010071E82087E242F841BB29673BD29AE555</vt:lpwstr>
  </property>
</Properties>
</file>