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F9E22" w14:textId="7EAC1DE0" w:rsidR="00A868E1" w:rsidRDefault="00977394" w:rsidP="002F6648">
      <w:pPr>
        <w:pStyle w:val="Heading1"/>
        <w:tabs>
          <w:tab w:val="left" w:pos="6675"/>
        </w:tabs>
        <w:ind w:left="-2160" w:firstLine="180"/>
      </w:pPr>
      <w:bookmarkStart w:id="0" w:name="_GoBack"/>
      <w:bookmarkEnd w:id="0"/>
      <w:r>
        <w:rPr>
          <w:sz w:val="24"/>
        </w:rPr>
        <w:t>Issue</w:t>
      </w:r>
      <w:r w:rsidR="00D0530D">
        <w:rPr>
          <w:sz w:val="24"/>
        </w:rPr>
        <w:tab/>
      </w:r>
    </w:p>
    <w:p w14:paraId="6C9F9E23" w14:textId="0C2C798C" w:rsidR="00456900" w:rsidRDefault="00776A63" w:rsidP="00456900">
      <w:pPr>
        <w:ind w:left="-810"/>
        <w:rPr>
          <w:sz w:val="24"/>
        </w:rPr>
      </w:pPr>
      <w:r>
        <w:rPr>
          <w:sz w:val="24"/>
        </w:rPr>
        <w:t xml:space="preserve">Service auditors have raised concerns over the practice of expensing fixed assets purchased </w:t>
      </w:r>
      <w:r w:rsidR="007114E2">
        <w:rPr>
          <w:sz w:val="24"/>
        </w:rPr>
        <w:t>via the UFM/MOA process</w:t>
      </w:r>
      <w:r>
        <w:rPr>
          <w:sz w:val="24"/>
        </w:rPr>
        <w:t xml:space="preserve">. The FMR </w:t>
      </w:r>
      <w:r w:rsidR="00ED5DB4">
        <w:rPr>
          <w:sz w:val="24"/>
        </w:rPr>
        <w:t xml:space="preserve">requires </w:t>
      </w:r>
      <w:r>
        <w:rPr>
          <w:sz w:val="24"/>
        </w:rPr>
        <w:t xml:space="preserve">this </w:t>
      </w:r>
      <w:r w:rsidR="00ED5DB4">
        <w:rPr>
          <w:sz w:val="24"/>
        </w:rPr>
        <w:t xml:space="preserve">expensing </w:t>
      </w:r>
      <w:r>
        <w:rPr>
          <w:sz w:val="24"/>
        </w:rPr>
        <w:t>treatment in Volume 13, Chapter 3</w:t>
      </w:r>
      <w:r w:rsidR="00ED5DB4">
        <w:rPr>
          <w:sz w:val="24"/>
        </w:rPr>
        <w:t>, as does the DoDI 1015.15</w:t>
      </w:r>
      <w:r>
        <w:rPr>
          <w:sz w:val="24"/>
        </w:rPr>
        <w:t xml:space="preserve">. </w:t>
      </w:r>
    </w:p>
    <w:p w14:paraId="6C9F9E24" w14:textId="77777777" w:rsidR="000E029A" w:rsidRDefault="000E029A" w:rsidP="000E029A">
      <w:pPr>
        <w:ind w:left="-810"/>
        <w:rPr>
          <w:sz w:val="24"/>
        </w:rPr>
      </w:pPr>
    </w:p>
    <w:p w14:paraId="2145B812" w14:textId="2FF96753" w:rsidR="001B551C" w:rsidRPr="000E029A" w:rsidRDefault="001B551C" w:rsidP="000E029A">
      <w:pPr>
        <w:ind w:left="-810"/>
        <w:rPr>
          <w:sz w:val="24"/>
        </w:rPr>
      </w:pPr>
      <w:r>
        <w:rPr>
          <w:sz w:val="24"/>
        </w:rPr>
        <w:t xml:space="preserve">Note: the Air Force does not participate in the UFM process, but we consider the MOA process of making APF funds available to NAF entities as NAF funds to be highly similar in practice to the UFM process. </w:t>
      </w:r>
    </w:p>
    <w:p w14:paraId="6C9F9E25" w14:textId="77777777" w:rsidR="002479EF" w:rsidRDefault="002479EF" w:rsidP="002479EF">
      <w:pPr>
        <w:pStyle w:val="Heading1"/>
        <w:tabs>
          <w:tab w:val="left" w:pos="6675"/>
        </w:tabs>
        <w:ind w:left="-2160" w:firstLine="180"/>
        <w:rPr>
          <w:sz w:val="24"/>
        </w:rPr>
      </w:pPr>
      <w:r>
        <w:rPr>
          <w:sz w:val="24"/>
        </w:rPr>
        <w:t>Research</w:t>
      </w:r>
    </w:p>
    <w:p w14:paraId="6C9F9E27" w14:textId="1D189B1C" w:rsidR="00ED6A35" w:rsidRDefault="00C11C7D" w:rsidP="00AD1A89">
      <w:pPr>
        <w:ind w:left="-810"/>
        <w:rPr>
          <w:sz w:val="24"/>
        </w:rPr>
      </w:pPr>
      <w:r>
        <w:rPr>
          <w:sz w:val="24"/>
        </w:rPr>
        <w:t>The table b</w:t>
      </w:r>
      <w:r w:rsidR="002479EF">
        <w:rPr>
          <w:sz w:val="24"/>
        </w:rPr>
        <w:t xml:space="preserve">elow outlines the </w:t>
      </w:r>
      <w:r w:rsidR="0082463C">
        <w:rPr>
          <w:sz w:val="24"/>
        </w:rPr>
        <w:t xml:space="preserve">current treatment </w:t>
      </w:r>
      <w:r w:rsidR="00456900">
        <w:rPr>
          <w:sz w:val="24"/>
        </w:rPr>
        <w:t xml:space="preserve">of </w:t>
      </w:r>
      <w:r w:rsidR="0082463C">
        <w:rPr>
          <w:sz w:val="24"/>
        </w:rPr>
        <w:t>how</w:t>
      </w:r>
      <w:r w:rsidR="002479EF">
        <w:rPr>
          <w:sz w:val="24"/>
        </w:rPr>
        <w:t xml:space="preserve"> each service complies </w:t>
      </w:r>
      <w:r>
        <w:rPr>
          <w:sz w:val="24"/>
        </w:rPr>
        <w:t xml:space="preserve">with </w:t>
      </w:r>
      <w:r w:rsidR="002479EF">
        <w:rPr>
          <w:sz w:val="24"/>
        </w:rPr>
        <w:t xml:space="preserve">the </w:t>
      </w:r>
      <w:r>
        <w:rPr>
          <w:sz w:val="24"/>
        </w:rPr>
        <w:t xml:space="preserve">existing </w:t>
      </w:r>
      <w:r w:rsidR="002479EF">
        <w:rPr>
          <w:sz w:val="24"/>
        </w:rPr>
        <w:t>regulations, accounting guidance</w:t>
      </w:r>
      <w:r w:rsidR="00FE0D58">
        <w:rPr>
          <w:sz w:val="24"/>
        </w:rPr>
        <w:t>,</w:t>
      </w:r>
      <w:r w:rsidR="002479EF">
        <w:rPr>
          <w:sz w:val="24"/>
        </w:rPr>
        <w:t xml:space="preserve"> and industry standards.</w:t>
      </w:r>
    </w:p>
    <w:tbl>
      <w:tblPr>
        <w:tblStyle w:val="LightGrid"/>
        <w:tblpPr w:leftFromText="180" w:rightFromText="180" w:vertAnchor="text" w:horzAnchor="page" w:tblpXSpec="center" w:tblpY="151"/>
        <w:tblW w:w="13670" w:type="dxa"/>
        <w:jc w:val="center"/>
        <w:tblLayout w:type="fixed"/>
        <w:tblLook w:val="04A0" w:firstRow="1" w:lastRow="0" w:firstColumn="1" w:lastColumn="0" w:noHBand="0" w:noVBand="1"/>
      </w:tblPr>
      <w:tblGrid>
        <w:gridCol w:w="6110"/>
        <w:gridCol w:w="1846"/>
        <w:gridCol w:w="1569"/>
        <w:gridCol w:w="1805"/>
        <w:gridCol w:w="2340"/>
      </w:tblGrid>
      <w:tr w:rsidR="00BB5F9B" w:rsidRPr="00655FDE" w14:paraId="6C9F9E2D" w14:textId="77777777" w:rsidTr="001B551C">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6110" w:type="dxa"/>
            <w:shd w:val="clear" w:color="auto" w:fill="000000" w:themeFill="text1"/>
            <w:vAlign w:val="center"/>
          </w:tcPr>
          <w:p w14:paraId="6C9F9E28" w14:textId="129CAC6C" w:rsidR="00BB5F9B" w:rsidRPr="00D952E5" w:rsidRDefault="00A81098" w:rsidP="00FA723B">
            <w:pPr>
              <w:jc w:val="center"/>
              <w:rPr>
                <w:sz w:val="26"/>
                <w:szCs w:val="26"/>
              </w:rPr>
            </w:pPr>
            <w:r>
              <w:rPr>
                <w:sz w:val="26"/>
                <w:szCs w:val="26"/>
              </w:rPr>
              <w:t>T</w:t>
            </w:r>
            <w:r w:rsidR="00117300">
              <w:rPr>
                <w:sz w:val="26"/>
                <w:szCs w:val="26"/>
              </w:rPr>
              <w:t>reatment of UFM P</w:t>
            </w:r>
            <w:r>
              <w:rPr>
                <w:sz w:val="26"/>
                <w:szCs w:val="26"/>
              </w:rPr>
              <w:t>urchased Fixed Assets</w:t>
            </w:r>
          </w:p>
        </w:tc>
        <w:tc>
          <w:tcPr>
            <w:tcW w:w="1846" w:type="dxa"/>
            <w:shd w:val="clear" w:color="auto" w:fill="000000" w:themeFill="text1"/>
            <w:vAlign w:val="center"/>
          </w:tcPr>
          <w:p w14:paraId="6C9F9E29"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569" w:type="dxa"/>
            <w:shd w:val="clear" w:color="auto" w:fill="000000" w:themeFill="text1"/>
            <w:vAlign w:val="center"/>
          </w:tcPr>
          <w:p w14:paraId="6C9F9E2A"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05" w:type="dxa"/>
            <w:shd w:val="clear" w:color="auto" w:fill="000000" w:themeFill="text1"/>
            <w:vAlign w:val="center"/>
          </w:tcPr>
          <w:p w14:paraId="6C9F9E2B"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2340" w:type="dxa"/>
            <w:shd w:val="clear" w:color="auto" w:fill="000000" w:themeFill="text1"/>
            <w:vAlign w:val="center"/>
          </w:tcPr>
          <w:p w14:paraId="6C9F9E2C"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F518F4" w:rsidRPr="00655FDE" w14:paraId="6C9F9E36" w14:textId="77777777" w:rsidTr="001B551C">
        <w:trPr>
          <w:cnfStyle w:val="000000100000" w:firstRow="0" w:lastRow="0" w:firstColumn="0" w:lastColumn="0" w:oddVBand="0" w:evenVBand="0" w:oddHBand="1" w:evenHBand="0" w:firstRowFirstColumn="0" w:firstRowLastColumn="0" w:lastRowFirstColumn="0" w:lastRowLastColumn="0"/>
          <w:trHeight w:val="3734"/>
          <w:jc w:val="center"/>
        </w:trPr>
        <w:tc>
          <w:tcPr>
            <w:cnfStyle w:val="001000000000" w:firstRow="0" w:lastRow="0" w:firstColumn="1" w:lastColumn="0" w:oddVBand="0" w:evenVBand="0" w:oddHBand="0" w:evenHBand="0" w:firstRowFirstColumn="0" w:firstRowLastColumn="0" w:lastRowFirstColumn="0" w:lastRowLastColumn="0"/>
            <w:tcW w:w="6110" w:type="dxa"/>
          </w:tcPr>
          <w:p w14:paraId="6C9F9E2E" w14:textId="171C688B" w:rsidR="00F518F4" w:rsidRPr="00372945" w:rsidRDefault="00A81098" w:rsidP="00F518F4">
            <w:pPr>
              <w:rPr>
                <w:sz w:val="24"/>
                <w:szCs w:val="24"/>
              </w:rPr>
            </w:pPr>
            <w:r>
              <w:rPr>
                <w:sz w:val="24"/>
                <w:szCs w:val="24"/>
              </w:rPr>
              <w:t xml:space="preserve">Current treatment </w:t>
            </w:r>
          </w:p>
        </w:tc>
        <w:tc>
          <w:tcPr>
            <w:tcW w:w="1846" w:type="dxa"/>
          </w:tcPr>
          <w:p w14:paraId="6C9F9E2F" w14:textId="76A88612" w:rsidR="00372945" w:rsidRDefault="00E15739" w:rsidP="00CF405E">
            <w:pPr>
              <w:pStyle w:val="BodyText"/>
              <w:spacing w:after="0"/>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Prior to audit finding, Air Force expensed MOA assets</w:t>
            </w:r>
            <w:r w:rsidR="00CF405E">
              <w:rPr>
                <w:sz w:val="24"/>
                <w:szCs w:val="24"/>
              </w:rPr>
              <w:t>.</w:t>
            </w:r>
          </w:p>
          <w:p w14:paraId="262BB048" w14:textId="77777777" w:rsidR="00CF405E" w:rsidRPr="00117300" w:rsidRDefault="00CF405E" w:rsidP="00CF405E">
            <w:pPr>
              <w:pStyle w:val="BodyText"/>
              <w:spacing w:after="0"/>
              <w:cnfStyle w:val="000000100000" w:firstRow="0" w:lastRow="0" w:firstColumn="0" w:lastColumn="0" w:oddVBand="0" w:evenVBand="0" w:oddHBand="1" w:evenHBand="0" w:firstRowFirstColumn="0" w:firstRowLastColumn="0" w:lastRowFirstColumn="0" w:lastRowLastColumn="0"/>
              <w:rPr>
                <w:sz w:val="24"/>
                <w:szCs w:val="24"/>
              </w:rPr>
            </w:pPr>
          </w:p>
          <w:p w14:paraId="36E1FE47" w14:textId="7EA5B1A6" w:rsidR="00F518F4" w:rsidRPr="00372945" w:rsidRDefault="00A81098" w:rsidP="00CF405E">
            <w:pPr>
              <w:pStyle w:val="BodyText"/>
              <w:cnfStyle w:val="000000100000" w:firstRow="0" w:lastRow="0" w:firstColumn="0" w:lastColumn="0" w:oddVBand="0" w:evenVBand="0" w:oddHBand="1" w:evenHBand="0" w:firstRowFirstColumn="0" w:firstRowLastColumn="0" w:lastRowFirstColumn="0" w:lastRowLastColumn="0"/>
            </w:pPr>
            <w:r w:rsidRPr="00117300">
              <w:rPr>
                <w:sz w:val="24"/>
                <w:szCs w:val="24"/>
              </w:rPr>
              <w:t xml:space="preserve">Auditors </w:t>
            </w:r>
            <w:r w:rsidR="00CF405E">
              <w:rPr>
                <w:sz w:val="24"/>
                <w:szCs w:val="24"/>
              </w:rPr>
              <w:t>required</w:t>
            </w:r>
            <w:r w:rsidRPr="00117300">
              <w:rPr>
                <w:sz w:val="24"/>
                <w:szCs w:val="24"/>
              </w:rPr>
              <w:t xml:space="preserve"> Air Force to take a write-up and recognize fixed assets.</w:t>
            </w:r>
          </w:p>
        </w:tc>
        <w:tc>
          <w:tcPr>
            <w:tcW w:w="1569" w:type="dxa"/>
          </w:tcPr>
          <w:p w14:paraId="2D51CAF3" w14:textId="77777777" w:rsidR="00CF405E" w:rsidRDefault="00A81098" w:rsidP="00CF405E">
            <w:pPr>
              <w:pStyle w:val="BodyText"/>
              <w:cnfStyle w:val="000000100000" w:firstRow="0" w:lastRow="0" w:firstColumn="0" w:lastColumn="0" w:oddVBand="0" w:evenVBand="0" w:oddHBand="1" w:evenHBand="0" w:firstRowFirstColumn="0" w:firstRowLastColumn="0" w:lastRowFirstColumn="0" w:lastRowLastColumn="0"/>
              <w:rPr>
                <w:sz w:val="24"/>
                <w:szCs w:val="24"/>
              </w:rPr>
            </w:pPr>
            <w:r w:rsidRPr="00117300">
              <w:rPr>
                <w:sz w:val="24"/>
                <w:szCs w:val="24"/>
              </w:rPr>
              <w:t>Unclear</w:t>
            </w:r>
            <w:r w:rsidR="00CF405E">
              <w:rPr>
                <w:sz w:val="24"/>
                <w:szCs w:val="24"/>
              </w:rPr>
              <w:t>.</w:t>
            </w:r>
          </w:p>
          <w:p w14:paraId="18129D1B" w14:textId="03AC18D1" w:rsidR="00CF405E" w:rsidRDefault="00CF405E" w:rsidP="00CF405E">
            <w:pPr>
              <w:pStyle w:val="BodyText"/>
              <w:cnfStyle w:val="000000100000" w:firstRow="0" w:lastRow="0" w:firstColumn="0" w:lastColumn="0" w:oddVBand="0" w:evenVBand="0" w:oddHBand="1" w:evenHBand="0" w:firstRowFirstColumn="0" w:firstRowLastColumn="0" w:lastRowFirstColumn="0" w:lastRowLastColumn="0"/>
              <w:rPr>
                <w:sz w:val="24"/>
                <w:szCs w:val="24"/>
              </w:rPr>
            </w:pPr>
          </w:p>
          <w:p w14:paraId="22A70D16" w14:textId="77777777" w:rsidR="00CF405E" w:rsidRDefault="00CF405E" w:rsidP="00CF405E">
            <w:pPr>
              <w:pStyle w:val="BodyText"/>
              <w:spacing w:after="0"/>
              <w:cnfStyle w:val="000000100000" w:firstRow="0" w:lastRow="0" w:firstColumn="0" w:lastColumn="0" w:oddVBand="0" w:evenVBand="0" w:oddHBand="1" w:evenHBand="0" w:firstRowFirstColumn="0" w:firstRowLastColumn="0" w:lastRowFirstColumn="0" w:lastRowLastColumn="0"/>
              <w:rPr>
                <w:sz w:val="24"/>
                <w:szCs w:val="24"/>
              </w:rPr>
            </w:pPr>
          </w:p>
          <w:p w14:paraId="0877384D" w14:textId="73D0A231" w:rsidR="00F518F4" w:rsidRPr="00117300" w:rsidRDefault="00CF405E" w:rsidP="00CF405E">
            <w:pPr>
              <w:pStyle w:val="BodyText"/>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Has</w:t>
            </w:r>
            <w:r w:rsidR="00A81098" w:rsidRPr="00117300">
              <w:rPr>
                <w:sz w:val="24"/>
                <w:szCs w:val="24"/>
              </w:rPr>
              <w:t xml:space="preserve"> APF assets, no UFM specific asset accounts</w:t>
            </w:r>
            <w:r>
              <w:rPr>
                <w:sz w:val="24"/>
                <w:szCs w:val="24"/>
              </w:rPr>
              <w:t>.</w:t>
            </w:r>
          </w:p>
        </w:tc>
        <w:tc>
          <w:tcPr>
            <w:tcW w:w="1805" w:type="dxa"/>
          </w:tcPr>
          <w:p w14:paraId="6C9F9E32" w14:textId="6D4C758A" w:rsidR="00F518F4" w:rsidRDefault="00A81098" w:rsidP="00435F4A">
            <w:pPr>
              <w:pStyle w:val="BodyText"/>
              <w:cnfStyle w:val="000000100000" w:firstRow="0" w:lastRow="0" w:firstColumn="0" w:lastColumn="0" w:oddVBand="0" w:evenVBand="0" w:oddHBand="1" w:evenHBand="0" w:firstRowFirstColumn="0" w:firstRowLastColumn="0" w:lastRowFirstColumn="0" w:lastRowLastColumn="0"/>
              <w:rPr>
                <w:sz w:val="24"/>
                <w:szCs w:val="24"/>
              </w:rPr>
            </w:pPr>
            <w:r w:rsidRPr="00117300">
              <w:rPr>
                <w:sz w:val="24"/>
                <w:szCs w:val="24"/>
              </w:rPr>
              <w:t>Unclear</w:t>
            </w:r>
            <w:r w:rsidR="00CF405E">
              <w:rPr>
                <w:sz w:val="24"/>
                <w:szCs w:val="24"/>
              </w:rPr>
              <w:t>.</w:t>
            </w:r>
          </w:p>
          <w:p w14:paraId="29462A77" w14:textId="6D4D38C6" w:rsidR="00CF405E" w:rsidRDefault="00CF405E" w:rsidP="00435F4A">
            <w:pPr>
              <w:pStyle w:val="BodyText"/>
              <w:cnfStyle w:val="000000100000" w:firstRow="0" w:lastRow="0" w:firstColumn="0" w:lastColumn="0" w:oddVBand="0" w:evenVBand="0" w:oddHBand="1" w:evenHBand="0" w:firstRowFirstColumn="0" w:firstRowLastColumn="0" w:lastRowFirstColumn="0" w:lastRowLastColumn="0"/>
              <w:rPr>
                <w:sz w:val="24"/>
                <w:szCs w:val="24"/>
              </w:rPr>
            </w:pPr>
          </w:p>
          <w:p w14:paraId="45C33607" w14:textId="77777777" w:rsidR="00CF405E" w:rsidRDefault="00CF405E" w:rsidP="00CF405E">
            <w:pPr>
              <w:pStyle w:val="BodyText"/>
              <w:spacing w:after="0"/>
              <w:cnfStyle w:val="000000100000" w:firstRow="0" w:lastRow="0" w:firstColumn="0" w:lastColumn="0" w:oddVBand="0" w:evenVBand="0" w:oddHBand="1" w:evenHBand="0" w:firstRowFirstColumn="0" w:firstRowLastColumn="0" w:lastRowFirstColumn="0" w:lastRowLastColumn="0"/>
              <w:rPr>
                <w:sz w:val="24"/>
                <w:szCs w:val="24"/>
              </w:rPr>
            </w:pPr>
          </w:p>
          <w:p w14:paraId="6C9F9E33" w14:textId="600178AB" w:rsidR="00F518F4" w:rsidRPr="00117300" w:rsidRDefault="00A81098" w:rsidP="00CF405E">
            <w:pPr>
              <w:pStyle w:val="BodyText"/>
              <w:spacing w:after="0"/>
              <w:cnfStyle w:val="000000100000" w:firstRow="0" w:lastRow="0" w:firstColumn="0" w:lastColumn="0" w:oddVBand="0" w:evenVBand="0" w:oddHBand="1" w:evenHBand="0" w:firstRowFirstColumn="0" w:firstRowLastColumn="0" w:lastRowFirstColumn="0" w:lastRowLastColumn="0"/>
              <w:rPr>
                <w:sz w:val="24"/>
                <w:szCs w:val="24"/>
              </w:rPr>
            </w:pPr>
            <w:r w:rsidRPr="00117300">
              <w:rPr>
                <w:sz w:val="24"/>
                <w:szCs w:val="24"/>
              </w:rPr>
              <w:t>No usage of APF asset accounts, does have UFM specific asset accounts in Prepaid Assets</w:t>
            </w:r>
            <w:r w:rsidR="00CF405E">
              <w:rPr>
                <w:sz w:val="24"/>
                <w:szCs w:val="24"/>
              </w:rPr>
              <w:t>.</w:t>
            </w:r>
          </w:p>
        </w:tc>
        <w:tc>
          <w:tcPr>
            <w:tcW w:w="2340" w:type="dxa"/>
          </w:tcPr>
          <w:p w14:paraId="6C9F9E34" w14:textId="446D9DFC" w:rsidR="00823F4D" w:rsidRDefault="00A81098" w:rsidP="00435F4A">
            <w:pPr>
              <w:pStyle w:val="BodyText"/>
              <w:cnfStyle w:val="000000100000" w:firstRow="0" w:lastRow="0" w:firstColumn="0" w:lastColumn="0" w:oddVBand="0" w:evenVBand="0" w:oddHBand="1" w:evenHBand="0" w:firstRowFirstColumn="0" w:firstRowLastColumn="0" w:lastRowFirstColumn="0" w:lastRowLastColumn="0"/>
              <w:rPr>
                <w:sz w:val="24"/>
                <w:szCs w:val="24"/>
              </w:rPr>
            </w:pPr>
            <w:r w:rsidRPr="00117300">
              <w:rPr>
                <w:sz w:val="24"/>
                <w:szCs w:val="24"/>
              </w:rPr>
              <w:t>Unclear</w:t>
            </w:r>
            <w:r w:rsidR="00CF405E">
              <w:rPr>
                <w:sz w:val="24"/>
                <w:szCs w:val="24"/>
              </w:rPr>
              <w:t>.</w:t>
            </w:r>
          </w:p>
          <w:p w14:paraId="3C52B885" w14:textId="337A2BC5" w:rsidR="00CF405E" w:rsidRDefault="00CF405E" w:rsidP="00435F4A">
            <w:pPr>
              <w:pStyle w:val="BodyText"/>
              <w:cnfStyle w:val="000000100000" w:firstRow="0" w:lastRow="0" w:firstColumn="0" w:lastColumn="0" w:oddVBand="0" w:evenVBand="0" w:oddHBand="1" w:evenHBand="0" w:firstRowFirstColumn="0" w:firstRowLastColumn="0" w:lastRowFirstColumn="0" w:lastRowLastColumn="0"/>
              <w:rPr>
                <w:sz w:val="24"/>
                <w:szCs w:val="24"/>
              </w:rPr>
            </w:pPr>
          </w:p>
          <w:p w14:paraId="70EDEBD2" w14:textId="77777777" w:rsidR="00CF405E" w:rsidRPr="00117300" w:rsidRDefault="00CF405E" w:rsidP="00CF405E">
            <w:pPr>
              <w:pStyle w:val="BodyText"/>
              <w:spacing w:after="0"/>
              <w:cnfStyle w:val="000000100000" w:firstRow="0" w:lastRow="0" w:firstColumn="0" w:lastColumn="0" w:oddVBand="0" w:evenVBand="0" w:oddHBand="1" w:evenHBand="0" w:firstRowFirstColumn="0" w:firstRowLastColumn="0" w:lastRowFirstColumn="0" w:lastRowLastColumn="0"/>
              <w:rPr>
                <w:sz w:val="24"/>
                <w:szCs w:val="24"/>
              </w:rPr>
            </w:pPr>
          </w:p>
          <w:p w14:paraId="6C9F9E35" w14:textId="4658F06F" w:rsidR="00F518F4" w:rsidRPr="00E45850" w:rsidRDefault="009E1BCC" w:rsidP="009E1BCC">
            <w:pPr>
              <w:pStyle w:val="BodyText"/>
              <w:cnfStyle w:val="000000100000" w:firstRow="0" w:lastRow="0" w:firstColumn="0" w:lastColumn="0" w:oddVBand="0" w:evenVBand="0" w:oddHBand="1" w:evenHBand="0" w:firstRowFirstColumn="0" w:firstRowLastColumn="0" w:lastRowFirstColumn="0" w:lastRowLastColumn="0"/>
            </w:pPr>
            <w:r w:rsidRPr="00117300">
              <w:rPr>
                <w:sz w:val="24"/>
                <w:szCs w:val="24"/>
              </w:rPr>
              <w:t>Does have APF assets recorded, no UFM specific asset accounts</w:t>
            </w:r>
            <w:r w:rsidR="00CF405E">
              <w:rPr>
                <w:sz w:val="24"/>
                <w:szCs w:val="24"/>
              </w:rPr>
              <w:t>.</w:t>
            </w:r>
          </w:p>
        </w:tc>
      </w:tr>
      <w:tr w:rsidR="003841A5" w:rsidRPr="00655FDE" w14:paraId="6C9F9E3C" w14:textId="77777777" w:rsidTr="001B551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10" w:type="dxa"/>
          </w:tcPr>
          <w:p w14:paraId="6C9F9E37" w14:textId="4B82C130" w:rsidR="003841A5" w:rsidRPr="00BD7E80" w:rsidRDefault="003841A5" w:rsidP="00A81098">
            <w:pPr>
              <w:autoSpaceDE w:val="0"/>
              <w:autoSpaceDN w:val="0"/>
              <w:adjustRightInd w:val="0"/>
              <w:rPr>
                <w:rFonts w:asciiTheme="minorHAnsi" w:hAnsiTheme="minorHAnsi"/>
                <w:b w:val="0"/>
                <w:sz w:val="24"/>
                <w:szCs w:val="24"/>
              </w:rPr>
            </w:pPr>
            <w:r w:rsidRPr="00D952E5">
              <w:rPr>
                <w:rFonts w:asciiTheme="minorHAnsi" w:hAnsiTheme="minorHAnsi"/>
                <w:sz w:val="24"/>
                <w:szCs w:val="24"/>
              </w:rPr>
              <w:t>DoD</w:t>
            </w:r>
            <w:r>
              <w:rPr>
                <w:rFonts w:asciiTheme="minorHAnsi" w:hAnsiTheme="minorHAnsi"/>
                <w:sz w:val="24"/>
                <w:szCs w:val="24"/>
              </w:rPr>
              <w:t xml:space="preserve">I </w:t>
            </w:r>
            <w:r w:rsidRPr="00D952E5">
              <w:rPr>
                <w:rFonts w:asciiTheme="minorHAnsi" w:hAnsiTheme="minorHAnsi"/>
                <w:sz w:val="24"/>
                <w:szCs w:val="24"/>
              </w:rPr>
              <w:t>1015.15</w:t>
            </w:r>
            <w:r>
              <w:rPr>
                <w:rFonts w:asciiTheme="minorHAnsi" w:hAnsiTheme="minorHAnsi" w:cs="Times New Roman"/>
                <w:sz w:val="24"/>
                <w:szCs w:val="24"/>
              </w:rPr>
              <w:t xml:space="preserve">:  </w:t>
            </w:r>
            <w:r w:rsidR="009E1BCC" w:rsidRPr="009E1BCC">
              <w:rPr>
                <w:b w:val="0"/>
              </w:rPr>
              <w:t>E6.3.5. Fixed assets acquired with MWR USA or UFM resources shall be expensed at the time of purchase and recorded in the NAFI fixed asset records for inventory and control purposes at zero acquisition value. These fixed assets are NAFI assets; proceeds from the disposition of these assets revert to the NAFI.</w:t>
            </w:r>
          </w:p>
        </w:tc>
        <w:tc>
          <w:tcPr>
            <w:tcW w:w="1846" w:type="dxa"/>
          </w:tcPr>
          <w:p w14:paraId="6C9F9E38" w14:textId="7F0A977D" w:rsidR="003841A5" w:rsidRPr="00E45850" w:rsidRDefault="009E1BCC" w:rsidP="00435F4A">
            <w:pPr>
              <w:pStyle w:val="BodyText"/>
              <w:cnfStyle w:val="000000010000" w:firstRow="0" w:lastRow="0" w:firstColumn="0" w:lastColumn="0" w:oddVBand="0" w:evenVBand="0" w:oddHBand="0" w:evenHBand="1" w:firstRowFirstColumn="0" w:firstRowLastColumn="0" w:lastRowFirstColumn="0" w:lastRowLastColumn="0"/>
            </w:pPr>
            <w:r>
              <w:t>Does Not Follow current Guidance</w:t>
            </w:r>
          </w:p>
        </w:tc>
        <w:tc>
          <w:tcPr>
            <w:tcW w:w="1569" w:type="dxa"/>
          </w:tcPr>
          <w:p w14:paraId="6C9F9E39" w14:textId="60292B9B" w:rsidR="003841A5" w:rsidRPr="00E45850" w:rsidRDefault="001B551C" w:rsidP="00435F4A">
            <w:pPr>
              <w:pStyle w:val="BodyText"/>
              <w:cnfStyle w:val="000000010000" w:firstRow="0" w:lastRow="0" w:firstColumn="0" w:lastColumn="0" w:oddVBand="0" w:evenVBand="0" w:oddHBand="0" w:evenHBand="1" w:firstRowFirstColumn="0" w:firstRowLastColumn="0" w:lastRowFirstColumn="0" w:lastRowLastColumn="0"/>
            </w:pPr>
            <w:r>
              <w:t>Unclear</w:t>
            </w:r>
          </w:p>
        </w:tc>
        <w:tc>
          <w:tcPr>
            <w:tcW w:w="1805" w:type="dxa"/>
          </w:tcPr>
          <w:p w14:paraId="6C9F9E3A" w14:textId="1A535839" w:rsidR="003841A5" w:rsidRPr="00E45850" w:rsidRDefault="001B551C" w:rsidP="00435F4A">
            <w:pPr>
              <w:pStyle w:val="BodyText"/>
              <w:cnfStyle w:val="000000010000" w:firstRow="0" w:lastRow="0" w:firstColumn="0" w:lastColumn="0" w:oddVBand="0" w:evenVBand="0" w:oddHBand="0" w:evenHBand="1" w:firstRowFirstColumn="0" w:firstRowLastColumn="0" w:lastRowFirstColumn="0" w:lastRowLastColumn="0"/>
            </w:pPr>
            <w:r>
              <w:t>Unclear</w:t>
            </w:r>
          </w:p>
        </w:tc>
        <w:tc>
          <w:tcPr>
            <w:tcW w:w="2340" w:type="dxa"/>
          </w:tcPr>
          <w:p w14:paraId="6C9F9E3B" w14:textId="30A62E5B" w:rsidR="003841A5" w:rsidRPr="00E45850" w:rsidRDefault="001B551C" w:rsidP="00435F4A">
            <w:pPr>
              <w:pStyle w:val="BodyText"/>
              <w:cnfStyle w:val="000000010000" w:firstRow="0" w:lastRow="0" w:firstColumn="0" w:lastColumn="0" w:oddVBand="0" w:evenVBand="0" w:oddHBand="0" w:evenHBand="1" w:firstRowFirstColumn="0" w:firstRowLastColumn="0" w:lastRowFirstColumn="0" w:lastRowLastColumn="0"/>
            </w:pPr>
            <w:r>
              <w:t>Unclear</w:t>
            </w:r>
          </w:p>
        </w:tc>
      </w:tr>
      <w:tr w:rsidR="003841A5" w:rsidRPr="00655FDE" w14:paraId="6C9F9E44" w14:textId="77777777" w:rsidTr="001B55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10" w:type="dxa"/>
          </w:tcPr>
          <w:p w14:paraId="05E649D2" w14:textId="6E00AB44" w:rsidR="009E1BCC" w:rsidRPr="009E1BCC" w:rsidRDefault="003841A5" w:rsidP="003841A5">
            <w:pPr>
              <w:rPr>
                <w:rFonts w:asciiTheme="minorHAnsi" w:hAnsiTheme="minorHAnsi"/>
                <w:b w:val="0"/>
                <w:sz w:val="24"/>
                <w:szCs w:val="24"/>
              </w:rPr>
            </w:pPr>
            <w:r w:rsidRPr="00D952E5">
              <w:rPr>
                <w:rFonts w:asciiTheme="minorHAnsi" w:hAnsiTheme="minorHAnsi"/>
                <w:sz w:val="24"/>
                <w:szCs w:val="24"/>
              </w:rPr>
              <w:lastRenderedPageBreak/>
              <w:t xml:space="preserve">FMR </w:t>
            </w:r>
            <w:r w:rsidR="000F0E02">
              <w:rPr>
                <w:rFonts w:asciiTheme="minorHAnsi" w:hAnsiTheme="minorHAnsi"/>
                <w:sz w:val="24"/>
                <w:szCs w:val="24"/>
              </w:rPr>
              <w:t>Volume</w:t>
            </w:r>
            <w:r w:rsidRPr="00D952E5">
              <w:rPr>
                <w:rFonts w:asciiTheme="minorHAnsi" w:hAnsiTheme="minorHAnsi"/>
                <w:sz w:val="24"/>
                <w:szCs w:val="24"/>
              </w:rPr>
              <w:t xml:space="preserve"> 13</w:t>
            </w:r>
            <w:r w:rsidR="000F0E02">
              <w:rPr>
                <w:rFonts w:asciiTheme="minorHAnsi" w:hAnsiTheme="minorHAnsi"/>
                <w:sz w:val="24"/>
                <w:szCs w:val="24"/>
              </w:rPr>
              <w:t>, Chapter 3</w:t>
            </w:r>
            <w:r w:rsidR="00212811">
              <w:rPr>
                <w:rFonts w:asciiTheme="minorHAnsi" w:hAnsiTheme="minorHAnsi"/>
                <w:sz w:val="24"/>
                <w:szCs w:val="24"/>
              </w:rPr>
              <w:t>,</w:t>
            </w:r>
            <w:r w:rsidR="000F0E02">
              <w:rPr>
                <w:rFonts w:asciiTheme="minorHAnsi" w:hAnsiTheme="minorHAnsi"/>
                <w:sz w:val="24"/>
                <w:szCs w:val="24"/>
              </w:rPr>
              <w:t xml:space="preserve"> </w:t>
            </w:r>
            <w:r w:rsidRPr="00853AAB">
              <w:rPr>
                <w:rFonts w:asciiTheme="minorHAnsi" w:hAnsiTheme="minorHAnsi"/>
                <w:bCs w:val="0"/>
                <w:sz w:val="24"/>
                <w:szCs w:val="24"/>
              </w:rPr>
              <w:t>0</w:t>
            </w:r>
            <w:r w:rsidR="009E1BCC" w:rsidRPr="00853AAB">
              <w:rPr>
                <w:rFonts w:asciiTheme="minorHAnsi" w:hAnsiTheme="minorHAnsi"/>
                <w:bCs w:val="0"/>
                <w:sz w:val="24"/>
                <w:szCs w:val="24"/>
              </w:rPr>
              <w:t>3030</w:t>
            </w:r>
            <w:r w:rsidR="000F0E02" w:rsidRPr="00853AAB">
              <w:rPr>
                <w:rFonts w:asciiTheme="minorHAnsi" w:hAnsiTheme="minorHAnsi"/>
                <w:bCs w:val="0"/>
                <w:sz w:val="24"/>
                <w:szCs w:val="24"/>
              </w:rPr>
              <w:t>6</w:t>
            </w:r>
            <w:r w:rsidRPr="00853AAB">
              <w:rPr>
                <w:rFonts w:asciiTheme="minorHAnsi" w:hAnsiTheme="minorHAnsi"/>
                <w:bCs w:val="0"/>
                <w:sz w:val="24"/>
                <w:szCs w:val="24"/>
              </w:rPr>
              <w:t>.</w:t>
            </w:r>
            <w:r w:rsidR="000F0E02" w:rsidRPr="00853AAB">
              <w:rPr>
                <w:rFonts w:asciiTheme="minorHAnsi" w:hAnsiTheme="minorHAnsi"/>
                <w:bCs w:val="0"/>
                <w:sz w:val="24"/>
                <w:szCs w:val="24"/>
              </w:rPr>
              <w:t>A. 1. g.</w:t>
            </w:r>
            <w:r w:rsidRPr="005832BC">
              <w:rPr>
                <w:rFonts w:asciiTheme="minorHAnsi" w:hAnsiTheme="minorHAnsi"/>
                <w:b w:val="0"/>
                <w:bCs w:val="0"/>
                <w:sz w:val="24"/>
                <w:szCs w:val="24"/>
              </w:rPr>
              <w:t xml:space="preserve"> </w:t>
            </w:r>
            <w:r w:rsidR="009E1BCC">
              <w:rPr>
                <w:rFonts w:asciiTheme="minorHAnsi" w:hAnsiTheme="minorHAnsi"/>
                <w:sz w:val="24"/>
                <w:szCs w:val="24"/>
                <w:u w:val="single"/>
              </w:rPr>
              <w:t>Uniform Funding and Management (UFM) Fixed Assets</w:t>
            </w:r>
            <w:r w:rsidR="00212811">
              <w:rPr>
                <w:rFonts w:asciiTheme="minorHAnsi" w:hAnsiTheme="minorHAnsi"/>
                <w:sz w:val="24"/>
                <w:szCs w:val="24"/>
                <w:u w:val="single"/>
              </w:rPr>
              <w:t xml:space="preserve">: </w:t>
            </w:r>
            <w:r w:rsidR="009E1BCC">
              <w:rPr>
                <w:rFonts w:asciiTheme="minorHAnsi" w:hAnsiTheme="minorHAnsi"/>
                <w:b w:val="0"/>
                <w:sz w:val="24"/>
                <w:szCs w:val="24"/>
              </w:rPr>
              <w:t>Fixed assets ac</w:t>
            </w:r>
            <w:r w:rsidR="000F0E02">
              <w:rPr>
                <w:rFonts w:asciiTheme="minorHAnsi" w:hAnsiTheme="minorHAnsi"/>
                <w:b w:val="0"/>
                <w:sz w:val="24"/>
                <w:szCs w:val="24"/>
              </w:rPr>
              <w:t>quired through UFM process must</w:t>
            </w:r>
            <w:r w:rsidR="009E1BCC">
              <w:rPr>
                <w:rFonts w:asciiTheme="minorHAnsi" w:hAnsiTheme="minorHAnsi"/>
                <w:b w:val="0"/>
                <w:sz w:val="24"/>
                <w:szCs w:val="24"/>
              </w:rPr>
              <w:t xml:space="preserve"> be expensed and offset with UFM funds at the time of purchase and not depreciated. </w:t>
            </w:r>
            <w:r w:rsidR="000F0E02">
              <w:rPr>
                <w:rFonts w:asciiTheme="minorHAnsi" w:hAnsiTheme="minorHAnsi"/>
                <w:b w:val="0"/>
                <w:sz w:val="24"/>
                <w:szCs w:val="24"/>
              </w:rPr>
              <w:t>Record t</w:t>
            </w:r>
            <w:r w:rsidR="009E1BCC">
              <w:rPr>
                <w:rFonts w:asciiTheme="minorHAnsi" w:hAnsiTheme="minorHAnsi"/>
                <w:b w:val="0"/>
                <w:sz w:val="24"/>
                <w:szCs w:val="24"/>
              </w:rPr>
              <w:t xml:space="preserve">hese assets in the NAFI fixed assets records for inventory and control purposes with a zero acquisition value. UFM fixed assets are considered NAFI assets and the proceeds from disposal </w:t>
            </w:r>
            <w:r w:rsidR="000F0E02">
              <w:rPr>
                <w:rFonts w:asciiTheme="minorHAnsi" w:hAnsiTheme="minorHAnsi"/>
                <w:b w:val="0"/>
                <w:sz w:val="24"/>
                <w:szCs w:val="24"/>
              </w:rPr>
              <w:t>must</w:t>
            </w:r>
            <w:r w:rsidR="009E1BCC">
              <w:rPr>
                <w:rFonts w:asciiTheme="minorHAnsi" w:hAnsiTheme="minorHAnsi"/>
                <w:b w:val="0"/>
                <w:sz w:val="24"/>
                <w:szCs w:val="24"/>
              </w:rPr>
              <w:t xml:space="preserve"> revert to the NAFI. </w:t>
            </w:r>
            <w:r w:rsidR="000F0E02">
              <w:rPr>
                <w:rFonts w:asciiTheme="minorHAnsi" w:hAnsiTheme="minorHAnsi"/>
                <w:b w:val="0"/>
                <w:sz w:val="24"/>
                <w:szCs w:val="24"/>
              </w:rPr>
              <w:t>Further information on UFM practices is included in DoDI 1015.15, Enclosure 6.</w:t>
            </w:r>
          </w:p>
          <w:p w14:paraId="6C9F9E3F" w14:textId="74063BE3" w:rsidR="009E1BCC" w:rsidRPr="009E1BCC" w:rsidRDefault="009E1BCC" w:rsidP="003841A5">
            <w:pPr>
              <w:rPr>
                <w:rFonts w:asciiTheme="minorHAnsi" w:hAnsiTheme="minorHAnsi"/>
                <w:sz w:val="24"/>
                <w:szCs w:val="24"/>
              </w:rPr>
            </w:pPr>
          </w:p>
        </w:tc>
        <w:tc>
          <w:tcPr>
            <w:tcW w:w="1846" w:type="dxa"/>
          </w:tcPr>
          <w:p w14:paraId="6C9F9E40" w14:textId="215B8620" w:rsidR="003841A5" w:rsidRPr="00E45850" w:rsidRDefault="009E1BCC" w:rsidP="00435F4A">
            <w:pPr>
              <w:pStyle w:val="BodyText"/>
              <w:cnfStyle w:val="000000100000" w:firstRow="0" w:lastRow="0" w:firstColumn="0" w:lastColumn="0" w:oddVBand="0" w:evenVBand="0" w:oddHBand="1" w:evenHBand="0" w:firstRowFirstColumn="0" w:firstRowLastColumn="0" w:lastRowFirstColumn="0" w:lastRowLastColumn="0"/>
            </w:pPr>
            <w:r>
              <w:t>Does Not Follow current Guidance</w:t>
            </w:r>
          </w:p>
        </w:tc>
        <w:tc>
          <w:tcPr>
            <w:tcW w:w="1569" w:type="dxa"/>
          </w:tcPr>
          <w:p w14:paraId="6C9F9E41" w14:textId="403A050B" w:rsidR="003841A5" w:rsidRPr="00E45850" w:rsidRDefault="001B551C" w:rsidP="00435F4A">
            <w:pPr>
              <w:pStyle w:val="BodyText"/>
              <w:cnfStyle w:val="000000100000" w:firstRow="0" w:lastRow="0" w:firstColumn="0" w:lastColumn="0" w:oddVBand="0" w:evenVBand="0" w:oddHBand="1" w:evenHBand="0" w:firstRowFirstColumn="0" w:firstRowLastColumn="0" w:lastRowFirstColumn="0" w:lastRowLastColumn="0"/>
            </w:pPr>
            <w:r>
              <w:t>Unclear</w:t>
            </w:r>
          </w:p>
        </w:tc>
        <w:tc>
          <w:tcPr>
            <w:tcW w:w="1805" w:type="dxa"/>
          </w:tcPr>
          <w:p w14:paraId="6C9F9E42" w14:textId="17654A41" w:rsidR="003841A5" w:rsidRPr="00E45850" w:rsidRDefault="001B551C" w:rsidP="00435F4A">
            <w:pPr>
              <w:pStyle w:val="BodyText"/>
              <w:cnfStyle w:val="000000100000" w:firstRow="0" w:lastRow="0" w:firstColumn="0" w:lastColumn="0" w:oddVBand="0" w:evenVBand="0" w:oddHBand="1" w:evenHBand="0" w:firstRowFirstColumn="0" w:firstRowLastColumn="0" w:lastRowFirstColumn="0" w:lastRowLastColumn="0"/>
            </w:pPr>
            <w:r>
              <w:t>Unclear</w:t>
            </w:r>
          </w:p>
        </w:tc>
        <w:tc>
          <w:tcPr>
            <w:tcW w:w="2340" w:type="dxa"/>
          </w:tcPr>
          <w:p w14:paraId="6C9F9E43" w14:textId="6A1E8542" w:rsidR="003841A5" w:rsidRPr="00E45850" w:rsidRDefault="001B551C" w:rsidP="00435F4A">
            <w:pPr>
              <w:pStyle w:val="BodyText"/>
              <w:cnfStyle w:val="000000100000" w:firstRow="0" w:lastRow="0" w:firstColumn="0" w:lastColumn="0" w:oddVBand="0" w:evenVBand="0" w:oddHBand="1" w:evenHBand="0" w:firstRowFirstColumn="0" w:firstRowLastColumn="0" w:lastRowFirstColumn="0" w:lastRowLastColumn="0"/>
            </w:pPr>
            <w:r>
              <w:t>Unclear</w:t>
            </w:r>
          </w:p>
        </w:tc>
      </w:tr>
      <w:tr w:rsidR="00F76260" w:rsidRPr="00655FDE" w14:paraId="6C9F9E4A" w14:textId="77777777" w:rsidTr="001B551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10" w:type="dxa"/>
          </w:tcPr>
          <w:p w14:paraId="48DBCFEA" w14:textId="33C42710" w:rsidR="00F76260" w:rsidRDefault="00F76260" w:rsidP="009E1BCC">
            <w:pPr>
              <w:rPr>
                <w:rFonts w:asciiTheme="minorHAnsi" w:hAnsiTheme="minorHAnsi"/>
                <w:b w:val="0"/>
                <w:sz w:val="24"/>
                <w:szCs w:val="24"/>
              </w:rPr>
            </w:pPr>
            <w:r w:rsidRPr="00D952E5">
              <w:rPr>
                <w:rFonts w:asciiTheme="minorHAnsi" w:hAnsiTheme="minorHAnsi"/>
                <w:sz w:val="24"/>
                <w:szCs w:val="24"/>
              </w:rPr>
              <w:t xml:space="preserve">GAAP:  </w:t>
            </w:r>
            <w:r w:rsidR="009E1BCC">
              <w:rPr>
                <w:rFonts w:asciiTheme="minorHAnsi" w:hAnsiTheme="minorHAnsi"/>
                <w:b w:val="0"/>
                <w:sz w:val="24"/>
                <w:szCs w:val="24"/>
              </w:rPr>
              <w:t>Fixed Assets</w:t>
            </w:r>
          </w:p>
          <w:p w14:paraId="0210190A" w14:textId="7C1CD1D1" w:rsidR="00F16980" w:rsidRPr="00F16980" w:rsidRDefault="00F16980" w:rsidP="00F16980">
            <w:pPr>
              <w:rPr>
                <w:rFonts w:asciiTheme="minorHAnsi" w:hAnsiTheme="minorHAnsi"/>
                <w:b w:val="0"/>
                <w:sz w:val="24"/>
                <w:szCs w:val="24"/>
              </w:rPr>
            </w:pPr>
            <w:bookmarkStart w:id="1" w:name="3F70307019B69ED7862575F800010724-idd3e15"/>
            <w:bookmarkStart w:id="2" w:name="3F70307019B69ED7862575F800010724-id05-3"/>
            <w:bookmarkEnd w:id="1"/>
            <w:bookmarkEnd w:id="2"/>
            <w:r>
              <w:rPr>
                <w:rFonts w:ascii="Helvetica" w:hAnsi="Helvetica" w:cs="Helvetica"/>
                <w:b w:val="0"/>
                <w:bCs w:val="0"/>
                <w:color w:val="000000"/>
                <w:lang w:val="en"/>
              </w:rPr>
              <w:t xml:space="preserve"> </w:t>
            </w:r>
            <w:r w:rsidRPr="00F16980">
              <w:rPr>
                <w:rFonts w:asciiTheme="minorHAnsi" w:hAnsiTheme="minorHAnsi"/>
                <w:sz w:val="24"/>
                <w:szCs w:val="24"/>
              </w:rPr>
              <w:t>Definition</w:t>
            </w:r>
            <w:r w:rsidRPr="00F16980">
              <w:rPr>
                <w:rFonts w:asciiTheme="minorHAnsi" w:hAnsiTheme="minorHAnsi"/>
                <w:b w:val="0"/>
                <w:sz w:val="24"/>
                <w:szCs w:val="24"/>
              </w:rPr>
              <w:t>: 360.10.05.3 Property, plant, and equipment typically consist of long-lived tangible assets used to create and distribute an entity's products and services and include:</w:t>
            </w:r>
          </w:p>
          <w:p w14:paraId="3E9D38AC" w14:textId="77777777" w:rsidR="00F16980" w:rsidRPr="00F16980" w:rsidRDefault="00F16980" w:rsidP="00F16980">
            <w:pPr>
              <w:rPr>
                <w:rFonts w:asciiTheme="minorHAnsi" w:hAnsiTheme="minorHAnsi"/>
                <w:b w:val="0"/>
                <w:sz w:val="24"/>
                <w:szCs w:val="24"/>
              </w:rPr>
            </w:pPr>
            <w:r w:rsidRPr="00F16980">
              <w:rPr>
                <w:rFonts w:asciiTheme="minorHAnsi" w:hAnsiTheme="minorHAnsi"/>
                <w:b w:val="0"/>
                <w:sz w:val="24"/>
                <w:szCs w:val="24"/>
              </w:rPr>
              <w:t>a. Land and land improvements</w:t>
            </w:r>
          </w:p>
          <w:p w14:paraId="3094067D" w14:textId="77777777" w:rsidR="00F16980" w:rsidRPr="00F16980" w:rsidRDefault="00F16980" w:rsidP="00F16980">
            <w:pPr>
              <w:rPr>
                <w:rFonts w:asciiTheme="minorHAnsi" w:hAnsiTheme="minorHAnsi"/>
                <w:b w:val="0"/>
                <w:sz w:val="24"/>
                <w:szCs w:val="24"/>
              </w:rPr>
            </w:pPr>
            <w:r w:rsidRPr="00F16980">
              <w:rPr>
                <w:rFonts w:asciiTheme="minorHAnsi" w:hAnsiTheme="minorHAnsi"/>
                <w:b w:val="0"/>
                <w:sz w:val="24"/>
                <w:szCs w:val="24"/>
              </w:rPr>
              <w:t>b. Buildings</w:t>
            </w:r>
          </w:p>
          <w:p w14:paraId="39C9B863" w14:textId="77777777" w:rsidR="00F16980" w:rsidRPr="00F16980" w:rsidRDefault="00F16980" w:rsidP="00F16980">
            <w:pPr>
              <w:rPr>
                <w:rFonts w:asciiTheme="minorHAnsi" w:hAnsiTheme="minorHAnsi"/>
                <w:b w:val="0"/>
                <w:sz w:val="24"/>
                <w:szCs w:val="24"/>
              </w:rPr>
            </w:pPr>
            <w:r w:rsidRPr="00F16980">
              <w:rPr>
                <w:rFonts w:asciiTheme="minorHAnsi" w:hAnsiTheme="minorHAnsi"/>
                <w:b w:val="0"/>
                <w:sz w:val="24"/>
                <w:szCs w:val="24"/>
              </w:rPr>
              <w:t>c. Machinery and equipment</w:t>
            </w:r>
          </w:p>
          <w:p w14:paraId="0AB372AD" w14:textId="77777777" w:rsidR="00F16980" w:rsidRDefault="00F16980" w:rsidP="00F16980">
            <w:pPr>
              <w:rPr>
                <w:rFonts w:asciiTheme="minorHAnsi" w:hAnsiTheme="minorHAnsi"/>
                <w:b w:val="0"/>
                <w:sz w:val="24"/>
                <w:szCs w:val="24"/>
              </w:rPr>
            </w:pPr>
            <w:r w:rsidRPr="00F16980">
              <w:rPr>
                <w:rFonts w:asciiTheme="minorHAnsi" w:hAnsiTheme="minorHAnsi"/>
                <w:b w:val="0"/>
                <w:sz w:val="24"/>
                <w:szCs w:val="24"/>
              </w:rPr>
              <w:t>d. Furniture and fixtures.</w:t>
            </w:r>
          </w:p>
          <w:p w14:paraId="64C58E90" w14:textId="77777777" w:rsidR="0088386C" w:rsidRDefault="0088386C" w:rsidP="00F16980">
            <w:pPr>
              <w:rPr>
                <w:rFonts w:asciiTheme="minorHAnsi" w:hAnsiTheme="minorHAnsi"/>
                <w:b w:val="0"/>
                <w:sz w:val="24"/>
                <w:szCs w:val="24"/>
              </w:rPr>
            </w:pPr>
          </w:p>
          <w:p w14:paraId="61D281F8" w14:textId="65180004" w:rsidR="00F16980" w:rsidRDefault="0088386C" w:rsidP="00F16980">
            <w:pPr>
              <w:rPr>
                <w:rFonts w:asciiTheme="minorHAnsi" w:hAnsiTheme="minorHAnsi"/>
                <w:b w:val="0"/>
                <w:sz w:val="24"/>
                <w:szCs w:val="24"/>
              </w:rPr>
            </w:pPr>
            <w:r>
              <w:rPr>
                <w:rFonts w:asciiTheme="minorHAnsi" w:hAnsiTheme="minorHAnsi"/>
                <w:sz w:val="24"/>
                <w:szCs w:val="24"/>
              </w:rPr>
              <w:t>Measurement</w:t>
            </w:r>
            <w:r w:rsidRPr="00F16980">
              <w:rPr>
                <w:rFonts w:asciiTheme="minorHAnsi" w:hAnsiTheme="minorHAnsi"/>
                <w:b w:val="0"/>
                <w:sz w:val="24"/>
                <w:szCs w:val="24"/>
              </w:rPr>
              <w:t>: 360.10.</w:t>
            </w:r>
            <w:r>
              <w:rPr>
                <w:rFonts w:asciiTheme="minorHAnsi" w:hAnsiTheme="minorHAnsi"/>
                <w:b w:val="0"/>
                <w:sz w:val="24"/>
                <w:szCs w:val="24"/>
              </w:rPr>
              <w:t xml:space="preserve"> </w:t>
            </w:r>
            <w:r w:rsidRPr="0088386C">
              <w:rPr>
                <w:rFonts w:asciiTheme="minorHAnsi" w:hAnsiTheme="minorHAnsi"/>
                <w:b w:val="0"/>
                <w:sz w:val="24"/>
                <w:szCs w:val="24"/>
              </w:rPr>
              <w:t>Property, plant, and equipment should be recorded at its historical cost. Historical cost for property is the fair value of the consideration surrendered for it, except in the case of certain exchanges (see the "10 Overall - Retirements, Sales, and Exchanges - Exchanges and Trade-ins " section of this chapter). If the property is acquired for consideration having no readily measurable fair value or is received as a contribution, the fair value of the property at the date of acquisition is the historical cost. If property is acquired with debt, appropriate adjustment should be made for any required imputed interest.</w:t>
            </w:r>
          </w:p>
          <w:p w14:paraId="63D0E3B4" w14:textId="77777777" w:rsidR="00F16980" w:rsidRPr="00F16980" w:rsidRDefault="00F16980" w:rsidP="00F16980">
            <w:pPr>
              <w:rPr>
                <w:rFonts w:asciiTheme="minorHAnsi" w:hAnsiTheme="minorHAnsi"/>
                <w:b w:val="0"/>
                <w:sz w:val="24"/>
                <w:szCs w:val="24"/>
              </w:rPr>
            </w:pPr>
          </w:p>
          <w:p w14:paraId="6C9F9E45" w14:textId="4F353FC2" w:rsidR="009E1BCC" w:rsidRPr="00D952E5" w:rsidRDefault="009E1BCC" w:rsidP="009E1BCC">
            <w:pPr>
              <w:rPr>
                <w:rFonts w:asciiTheme="minorHAnsi" w:hAnsiTheme="minorHAnsi"/>
                <w:sz w:val="24"/>
                <w:szCs w:val="24"/>
              </w:rPr>
            </w:pPr>
          </w:p>
        </w:tc>
        <w:tc>
          <w:tcPr>
            <w:tcW w:w="1846" w:type="dxa"/>
          </w:tcPr>
          <w:p w14:paraId="6C9F9E46" w14:textId="4FAA10FE" w:rsidR="00F76260" w:rsidRPr="00435F4A" w:rsidRDefault="0088386C" w:rsidP="00F76260">
            <w:pPr>
              <w:cnfStyle w:val="000000010000" w:firstRow="0" w:lastRow="0" w:firstColumn="0" w:lastColumn="0" w:oddVBand="0" w:evenVBand="0" w:oddHBand="0" w:evenHBand="1" w:firstRowFirstColumn="0" w:firstRowLastColumn="0" w:lastRowFirstColumn="0" w:lastRowLastColumn="0"/>
              <w:rPr>
                <w:sz w:val="24"/>
              </w:rPr>
            </w:pPr>
            <w:r>
              <w:rPr>
                <w:sz w:val="24"/>
              </w:rPr>
              <w:lastRenderedPageBreak/>
              <w:t>Follows current guidance</w:t>
            </w:r>
          </w:p>
        </w:tc>
        <w:tc>
          <w:tcPr>
            <w:tcW w:w="1569" w:type="dxa"/>
          </w:tcPr>
          <w:p w14:paraId="6C9F9E47" w14:textId="31272899" w:rsidR="00F76260" w:rsidRPr="00435F4A" w:rsidRDefault="001B551C" w:rsidP="00F76260">
            <w:pPr>
              <w:cnfStyle w:val="000000010000" w:firstRow="0" w:lastRow="0" w:firstColumn="0" w:lastColumn="0" w:oddVBand="0" w:evenVBand="0" w:oddHBand="0" w:evenHBand="1" w:firstRowFirstColumn="0" w:firstRowLastColumn="0" w:lastRowFirstColumn="0" w:lastRowLastColumn="0"/>
              <w:rPr>
                <w:sz w:val="24"/>
              </w:rPr>
            </w:pPr>
            <w:r>
              <w:t>Unclear</w:t>
            </w:r>
          </w:p>
        </w:tc>
        <w:tc>
          <w:tcPr>
            <w:tcW w:w="1805" w:type="dxa"/>
          </w:tcPr>
          <w:p w14:paraId="6C9F9E48" w14:textId="155A5879" w:rsidR="00F76260" w:rsidRPr="00435F4A" w:rsidRDefault="001B551C" w:rsidP="00F76260">
            <w:pPr>
              <w:cnfStyle w:val="000000010000" w:firstRow="0" w:lastRow="0" w:firstColumn="0" w:lastColumn="0" w:oddVBand="0" w:evenVBand="0" w:oddHBand="0" w:evenHBand="1" w:firstRowFirstColumn="0" w:firstRowLastColumn="0" w:lastRowFirstColumn="0" w:lastRowLastColumn="0"/>
              <w:rPr>
                <w:sz w:val="24"/>
              </w:rPr>
            </w:pPr>
            <w:r>
              <w:t>Unclear</w:t>
            </w:r>
          </w:p>
        </w:tc>
        <w:tc>
          <w:tcPr>
            <w:tcW w:w="2340" w:type="dxa"/>
          </w:tcPr>
          <w:p w14:paraId="6C9F9E49" w14:textId="6059EEB1" w:rsidR="00F76260" w:rsidRPr="00435F4A" w:rsidRDefault="001B551C" w:rsidP="00F76260">
            <w:pPr>
              <w:cnfStyle w:val="000000010000" w:firstRow="0" w:lastRow="0" w:firstColumn="0" w:lastColumn="0" w:oddVBand="0" w:evenVBand="0" w:oddHBand="0" w:evenHBand="1" w:firstRowFirstColumn="0" w:firstRowLastColumn="0" w:lastRowFirstColumn="0" w:lastRowLastColumn="0"/>
              <w:rPr>
                <w:sz w:val="24"/>
              </w:rPr>
            </w:pPr>
            <w:r>
              <w:t>Unclear</w:t>
            </w:r>
          </w:p>
        </w:tc>
      </w:tr>
      <w:tr w:rsidR="00F76260" w:rsidRPr="00655FDE" w14:paraId="6C9F9E50" w14:textId="77777777" w:rsidTr="001B55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10" w:type="dxa"/>
          </w:tcPr>
          <w:p w14:paraId="55ACDF3A" w14:textId="77777777" w:rsidR="00F76260" w:rsidRDefault="00A733F0" w:rsidP="0088386C">
            <w:pPr>
              <w:autoSpaceDE w:val="0"/>
              <w:autoSpaceDN w:val="0"/>
              <w:adjustRightInd w:val="0"/>
              <w:rPr>
                <w:rFonts w:asciiTheme="minorHAnsi" w:hAnsiTheme="minorHAnsi"/>
                <w:sz w:val="24"/>
                <w:szCs w:val="24"/>
              </w:rPr>
            </w:pPr>
            <w:r>
              <w:rPr>
                <w:rFonts w:asciiTheme="minorHAnsi" w:hAnsiTheme="minorHAnsi"/>
                <w:sz w:val="24"/>
                <w:szCs w:val="24"/>
              </w:rPr>
              <w:t>FASAB Handbook version 16</w:t>
            </w:r>
            <w:r w:rsidR="00F76260" w:rsidRPr="00D952E5">
              <w:rPr>
                <w:rFonts w:asciiTheme="minorHAnsi" w:hAnsiTheme="minorHAnsi"/>
                <w:sz w:val="24"/>
                <w:szCs w:val="24"/>
              </w:rPr>
              <w:t xml:space="preserve">: </w:t>
            </w:r>
          </w:p>
          <w:p w14:paraId="29B21FBB" w14:textId="23E2403B" w:rsidR="00776EA8" w:rsidRPr="00776EA8" w:rsidRDefault="00776EA8" w:rsidP="0088386C">
            <w:pPr>
              <w:autoSpaceDE w:val="0"/>
              <w:autoSpaceDN w:val="0"/>
              <w:adjustRightInd w:val="0"/>
            </w:pPr>
            <w:r w:rsidRPr="00776EA8">
              <w:t>Definition</w:t>
            </w:r>
          </w:p>
          <w:p w14:paraId="7447995F" w14:textId="79D3D1A3" w:rsidR="00776EA8" w:rsidRPr="00776EA8" w:rsidRDefault="0088386C" w:rsidP="0088386C">
            <w:pPr>
              <w:autoSpaceDE w:val="0"/>
              <w:autoSpaceDN w:val="0"/>
              <w:adjustRightInd w:val="0"/>
              <w:rPr>
                <w:b w:val="0"/>
              </w:rPr>
            </w:pPr>
            <w:r w:rsidRPr="00776EA8">
              <w:rPr>
                <w:b w:val="0"/>
              </w:rPr>
              <w:t>17. Property, plant, and equipment consists of tangible assets, including land, that meet the following criteria:</w:t>
            </w:r>
          </w:p>
          <w:p w14:paraId="4E1E4B6E" w14:textId="77777777" w:rsidR="00776EA8" w:rsidRDefault="00776EA8" w:rsidP="0088386C">
            <w:pPr>
              <w:autoSpaceDE w:val="0"/>
              <w:autoSpaceDN w:val="0"/>
              <w:adjustRightInd w:val="0"/>
            </w:pPr>
          </w:p>
          <w:p w14:paraId="2142420E" w14:textId="34AD37EF" w:rsidR="00776EA8" w:rsidRPr="00776EA8" w:rsidRDefault="00776EA8" w:rsidP="0088386C">
            <w:pPr>
              <w:autoSpaceDE w:val="0"/>
              <w:autoSpaceDN w:val="0"/>
              <w:adjustRightInd w:val="0"/>
              <w:rPr>
                <w:b w:val="0"/>
              </w:rPr>
            </w:pPr>
            <w:r>
              <w:t xml:space="preserve"> </w:t>
            </w:r>
            <w:r w:rsidRPr="00776EA8">
              <w:rPr>
                <w:b w:val="0"/>
              </w:rPr>
              <w:t>• T</w:t>
            </w:r>
            <w:r w:rsidR="0088386C" w:rsidRPr="00776EA8">
              <w:rPr>
                <w:b w:val="0"/>
              </w:rPr>
              <w:t xml:space="preserve">hey have estimated useful lives of 2 years or more; </w:t>
            </w:r>
          </w:p>
          <w:p w14:paraId="5833063C" w14:textId="3F20B4EF" w:rsidR="00776EA8" w:rsidRPr="00776EA8" w:rsidRDefault="00776EA8" w:rsidP="0088386C">
            <w:pPr>
              <w:autoSpaceDE w:val="0"/>
              <w:autoSpaceDN w:val="0"/>
              <w:adjustRightInd w:val="0"/>
              <w:rPr>
                <w:b w:val="0"/>
              </w:rPr>
            </w:pPr>
            <w:r w:rsidRPr="00776EA8">
              <w:rPr>
                <w:b w:val="0"/>
              </w:rPr>
              <w:t>• T</w:t>
            </w:r>
            <w:r w:rsidR="0088386C" w:rsidRPr="00776EA8">
              <w:rPr>
                <w:b w:val="0"/>
              </w:rPr>
              <w:t>hey are not intended for sale in the ord</w:t>
            </w:r>
            <w:r w:rsidRPr="00776EA8">
              <w:rPr>
                <w:b w:val="0"/>
              </w:rPr>
              <w:t>inary course of operations;</w:t>
            </w:r>
          </w:p>
          <w:p w14:paraId="7BC3BCD5" w14:textId="650F4350" w:rsidR="00776EA8" w:rsidRPr="00776EA8" w:rsidRDefault="0088386C" w:rsidP="0088386C">
            <w:pPr>
              <w:autoSpaceDE w:val="0"/>
              <w:autoSpaceDN w:val="0"/>
              <w:adjustRightInd w:val="0"/>
              <w:rPr>
                <w:b w:val="0"/>
              </w:rPr>
            </w:pPr>
            <w:r w:rsidRPr="00776EA8">
              <w:rPr>
                <w:b w:val="0"/>
              </w:rPr>
              <w:t xml:space="preserve">• </w:t>
            </w:r>
            <w:r w:rsidR="00776EA8" w:rsidRPr="00776EA8">
              <w:rPr>
                <w:b w:val="0"/>
              </w:rPr>
              <w:t>They</w:t>
            </w:r>
            <w:r w:rsidRPr="00776EA8">
              <w:rPr>
                <w:b w:val="0"/>
              </w:rPr>
              <w:t xml:space="preserve"> have been acquired or constructed with the intention of being used, or being available for use by the entity. </w:t>
            </w:r>
          </w:p>
          <w:p w14:paraId="1661316F" w14:textId="77777777" w:rsidR="00776EA8" w:rsidRPr="00776EA8" w:rsidRDefault="00776EA8" w:rsidP="0088386C">
            <w:pPr>
              <w:autoSpaceDE w:val="0"/>
              <w:autoSpaceDN w:val="0"/>
              <w:adjustRightInd w:val="0"/>
              <w:rPr>
                <w:b w:val="0"/>
              </w:rPr>
            </w:pPr>
          </w:p>
          <w:p w14:paraId="7B40A67B" w14:textId="77777777" w:rsidR="00776EA8" w:rsidRPr="00776EA8" w:rsidRDefault="0088386C" w:rsidP="0088386C">
            <w:pPr>
              <w:autoSpaceDE w:val="0"/>
              <w:autoSpaceDN w:val="0"/>
              <w:adjustRightInd w:val="0"/>
              <w:rPr>
                <w:b w:val="0"/>
              </w:rPr>
            </w:pPr>
            <w:r w:rsidRPr="00776EA8">
              <w:rPr>
                <w:b w:val="0"/>
              </w:rPr>
              <w:t xml:space="preserve">18. Property, plant, and equipment also includes: </w:t>
            </w:r>
          </w:p>
          <w:p w14:paraId="35128E1A" w14:textId="77777777" w:rsidR="00776EA8" w:rsidRPr="00776EA8" w:rsidRDefault="00776EA8" w:rsidP="0088386C">
            <w:pPr>
              <w:autoSpaceDE w:val="0"/>
              <w:autoSpaceDN w:val="0"/>
              <w:adjustRightInd w:val="0"/>
              <w:rPr>
                <w:b w:val="0"/>
              </w:rPr>
            </w:pPr>
          </w:p>
          <w:p w14:paraId="7841592D" w14:textId="77777777" w:rsidR="00776EA8" w:rsidRPr="00776EA8" w:rsidRDefault="0088386C" w:rsidP="0088386C">
            <w:pPr>
              <w:autoSpaceDE w:val="0"/>
              <w:autoSpaceDN w:val="0"/>
              <w:adjustRightInd w:val="0"/>
              <w:rPr>
                <w:b w:val="0"/>
              </w:rPr>
            </w:pPr>
            <w:r w:rsidRPr="00776EA8">
              <w:rPr>
                <w:b w:val="0"/>
              </w:rPr>
              <w:t>• assets acquired through capital leases (See paragraph 20), including leasehold improvements;</w:t>
            </w:r>
          </w:p>
          <w:p w14:paraId="6CE283DE" w14:textId="29E17E51" w:rsidR="00776EA8" w:rsidRPr="00776EA8" w:rsidRDefault="0088386C" w:rsidP="0088386C">
            <w:pPr>
              <w:autoSpaceDE w:val="0"/>
              <w:autoSpaceDN w:val="0"/>
              <w:adjustRightInd w:val="0"/>
              <w:rPr>
                <w:b w:val="0"/>
              </w:rPr>
            </w:pPr>
            <w:r w:rsidRPr="00776EA8">
              <w:rPr>
                <w:b w:val="0"/>
              </w:rPr>
              <w:t xml:space="preserve"> • property owned by the reporting entity in the hands of others (e.g., state and local governments, colleges and univers</w:t>
            </w:r>
            <w:r w:rsidR="00776EA8" w:rsidRPr="00776EA8">
              <w:rPr>
                <w:b w:val="0"/>
              </w:rPr>
              <w:t>ities, or Federal contractors)</w:t>
            </w:r>
          </w:p>
          <w:p w14:paraId="05524A52" w14:textId="77777777" w:rsidR="0088386C" w:rsidRPr="00776EA8" w:rsidRDefault="0088386C" w:rsidP="00776EA8">
            <w:pPr>
              <w:autoSpaceDE w:val="0"/>
              <w:autoSpaceDN w:val="0"/>
              <w:adjustRightInd w:val="0"/>
              <w:rPr>
                <w:b w:val="0"/>
              </w:rPr>
            </w:pPr>
            <w:r w:rsidRPr="00776EA8">
              <w:rPr>
                <w:b w:val="0"/>
              </w:rPr>
              <w:t xml:space="preserve"> • land rights</w:t>
            </w:r>
          </w:p>
          <w:p w14:paraId="40F9E196" w14:textId="77777777" w:rsidR="00776EA8" w:rsidRDefault="00776EA8" w:rsidP="00776EA8">
            <w:pPr>
              <w:autoSpaceDE w:val="0"/>
              <w:autoSpaceDN w:val="0"/>
              <w:adjustRightInd w:val="0"/>
            </w:pPr>
          </w:p>
          <w:p w14:paraId="39C6E788" w14:textId="1EAD2CEB" w:rsidR="00776EA8" w:rsidRDefault="00776EA8" w:rsidP="00776EA8">
            <w:pPr>
              <w:autoSpaceDE w:val="0"/>
              <w:autoSpaceDN w:val="0"/>
              <w:adjustRightInd w:val="0"/>
            </w:pPr>
            <w:r>
              <w:t>Measurement</w:t>
            </w:r>
          </w:p>
          <w:p w14:paraId="54E51507" w14:textId="4C443AA4" w:rsidR="00776EA8" w:rsidRPr="00776EA8" w:rsidRDefault="00776EA8" w:rsidP="00776EA8">
            <w:pPr>
              <w:autoSpaceDE w:val="0"/>
              <w:autoSpaceDN w:val="0"/>
              <w:adjustRightInd w:val="0"/>
              <w:rPr>
                <w:b w:val="0"/>
              </w:rPr>
            </w:pPr>
            <w:r w:rsidRPr="00776EA8">
              <w:rPr>
                <w:b w:val="0"/>
              </w:rPr>
              <w:t>All general PP&amp;E shall be recorded at cost. Although the measurement basis for valuing general PP&amp;E remains historical cost, reasonable estimates may be used to establish the historical cost of general PP&amp;E, in accordance with the asset recognition and measurement provisions herein. Cost shall include all costs incurred to bring the PP&amp;E to a form and location suitable for its intended use.</w:t>
            </w:r>
          </w:p>
          <w:p w14:paraId="6C9F9E4B" w14:textId="4AB7B973" w:rsidR="00776EA8" w:rsidRPr="00D952E5" w:rsidRDefault="00776EA8" w:rsidP="00776EA8">
            <w:pPr>
              <w:autoSpaceDE w:val="0"/>
              <w:autoSpaceDN w:val="0"/>
              <w:adjustRightInd w:val="0"/>
              <w:rPr>
                <w:rFonts w:asciiTheme="minorHAnsi" w:hAnsiTheme="minorHAnsi"/>
                <w:sz w:val="24"/>
                <w:szCs w:val="24"/>
              </w:rPr>
            </w:pPr>
          </w:p>
        </w:tc>
        <w:tc>
          <w:tcPr>
            <w:tcW w:w="1846" w:type="dxa"/>
          </w:tcPr>
          <w:p w14:paraId="6C9F9E4C" w14:textId="210E656E" w:rsidR="00F76260" w:rsidRPr="00435F4A" w:rsidRDefault="0041120B" w:rsidP="00F76260">
            <w:pPr>
              <w:cnfStyle w:val="000000100000" w:firstRow="0" w:lastRow="0" w:firstColumn="0" w:lastColumn="0" w:oddVBand="0" w:evenVBand="0" w:oddHBand="1" w:evenHBand="0" w:firstRowFirstColumn="0" w:firstRowLastColumn="0" w:lastRowFirstColumn="0" w:lastRowLastColumn="0"/>
              <w:rPr>
                <w:sz w:val="24"/>
              </w:rPr>
            </w:pPr>
            <w:r>
              <w:rPr>
                <w:sz w:val="24"/>
              </w:rPr>
              <w:t>Unclear</w:t>
            </w:r>
          </w:p>
        </w:tc>
        <w:tc>
          <w:tcPr>
            <w:tcW w:w="1569" w:type="dxa"/>
          </w:tcPr>
          <w:p w14:paraId="6C9F9E4D" w14:textId="6F1FFD83" w:rsidR="00F76260" w:rsidRPr="00435F4A" w:rsidRDefault="001B551C" w:rsidP="00F76260">
            <w:pPr>
              <w:cnfStyle w:val="000000100000" w:firstRow="0" w:lastRow="0" w:firstColumn="0" w:lastColumn="0" w:oddVBand="0" w:evenVBand="0" w:oddHBand="1" w:evenHBand="0" w:firstRowFirstColumn="0" w:firstRowLastColumn="0" w:lastRowFirstColumn="0" w:lastRowLastColumn="0"/>
              <w:rPr>
                <w:sz w:val="24"/>
              </w:rPr>
            </w:pPr>
            <w:r>
              <w:t>Unclear</w:t>
            </w:r>
          </w:p>
        </w:tc>
        <w:tc>
          <w:tcPr>
            <w:tcW w:w="1805" w:type="dxa"/>
          </w:tcPr>
          <w:p w14:paraId="6C9F9E4E" w14:textId="627D77FB" w:rsidR="00F76260" w:rsidRPr="00435F4A" w:rsidRDefault="001B551C" w:rsidP="00F76260">
            <w:pPr>
              <w:cnfStyle w:val="000000100000" w:firstRow="0" w:lastRow="0" w:firstColumn="0" w:lastColumn="0" w:oddVBand="0" w:evenVBand="0" w:oddHBand="1" w:evenHBand="0" w:firstRowFirstColumn="0" w:firstRowLastColumn="0" w:lastRowFirstColumn="0" w:lastRowLastColumn="0"/>
              <w:rPr>
                <w:sz w:val="24"/>
              </w:rPr>
            </w:pPr>
            <w:r>
              <w:t>Unclear</w:t>
            </w:r>
          </w:p>
        </w:tc>
        <w:tc>
          <w:tcPr>
            <w:tcW w:w="2340" w:type="dxa"/>
          </w:tcPr>
          <w:p w14:paraId="6C9F9E4F" w14:textId="69036BBE" w:rsidR="00F76260" w:rsidRPr="00435F4A" w:rsidRDefault="001B551C" w:rsidP="00F76260">
            <w:pPr>
              <w:cnfStyle w:val="000000100000" w:firstRow="0" w:lastRow="0" w:firstColumn="0" w:lastColumn="0" w:oddVBand="0" w:evenVBand="0" w:oddHBand="1" w:evenHBand="0" w:firstRowFirstColumn="0" w:firstRowLastColumn="0" w:lastRowFirstColumn="0" w:lastRowLastColumn="0"/>
              <w:rPr>
                <w:sz w:val="24"/>
              </w:rPr>
            </w:pPr>
            <w:r>
              <w:t>Unclear</w:t>
            </w:r>
          </w:p>
        </w:tc>
      </w:tr>
      <w:tr w:rsidR="00750554" w:rsidRPr="00655FDE" w14:paraId="319D1FBD" w14:textId="77777777" w:rsidTr="001B551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10" w:type="dxa"/>
          </w:tcPr>
          <w:p w14:paraId="57108556" w14:textId="72354978" w:rsidR="00750554" w:rsidRDefault="00750554" w:rsidP="009E5DCC">
            <w:pPr>
              <w:rPr>
                <w:rFonts w:asciiTheme="minorHAnsi" w:hAnsiTheme="minorHAnsi"/>
                <w:sz w:val="24"/>
                <w:szCs w:val="24"/>
              </w:rPr>
            </w:pPr>
            <w:r>
              <w:rPr>
                <w:rFonts w:asciiTheme="minorHAnsi" w:hAnsiTheme="minorHAnsi"/>
                <w:sz w:val="24"/>
                <w:szCs w:val="24"/>
              </w:rPr>
              <w:t xml:space="preserve">Excerpt from Padgett Stratemann FY 2014 audit of Air Force MWR Fund (AFMWRF): </w:t>
            </w:r>
          </w:p>
          <w:p w14:paraId="6E3F3D10" w14:textId="77777777" w:rsidR="00750554" w:rsidRDefault="00750554" w:rsidP="009E5DCC">
            <w:pPr>
              <w:rPr>
                <w:rFonts w:asciiTheme="minorHAnsi" w:hAnsiTheme="minorHAnsi"/>
                <w:sz w:val="24"/>
                <w:szCs w:val="24"/>
              </w:rPr>
            </w:pPr>
          </w:p>
          <w:p w14:paraId="4FCADAB1" w14:textId="2E5E654B" w:rsidR="00750554" w:rsidRPr="00750554" w:rsidRDefault="00750554" w:rsidP="009E5DCC">
            <w:pPr>
              <w:rPr>
                <w:rFonts w:asciiTheme="minorHAnsi" w:hAnsiTheme="minorHAnsi"/>
                <w:b w:val="0"/>
                <w:sz w:val="24"/>
                <w:szCs w:val="24"/>
              </w:rPr>
            </w:pPr>
            <w:r>
              <w:rPr>
                <w:rFonts w:asciiTheme="minorHAnsi" w:hAnsiTheme="minorHAnsi"/>
                <w:b w:val="0"/>
                <w:sz w:val="24"/>
                <w:szCs w:val="24"/>
              </w:rPr>
              <w:t xml:space="preserve">…”in accordance with accounting principles generally accepted within the United States of America” (GAAP). </w:t>
            </w:r>
          </w:p>
          <w:p w14:paraId="5902BC41" w14:textId="77777777" w:rsidR="00750554" w:rsidRDefault="00750554" w:rsidP="009E5DCC">
            <w:pPr>
              <w:rPr>
                <w:rFonts w:asciiTheme="minorHAnsi" w:hAnsiTheme="minorHAnsi"/>
                <w:b w:val="0"/>
                <w:sz w:val="24"/>
                <w:szCs w:val="24"/>
              </w:rPr>
            </w:pPr>
          </w:p>
          <w:p w14:paraId="0E6A6FC3" w14:textId="5FFA0513" w:rsidR="00750554" w:rsidRDefault="00750554" w:rsidP="009E5DCC">
            <w:pPr>
              <w:rPr>
                <w:rFonts w:asciiTheme="minorHAnsi" w:hAnsiTheme="minorHAnsi"/>
                <w:b w:val="0"/>
                <w:sz w:val="24"/>
                <w:szCs w:val="24"/>
              </w:rPr>
            </w:pPr>
            <w:r>
              <w:rPr>
                <w:rFonts w:asciiTheme="minorHAnsi" w:hAnsiTheme="minorHAnsi"/>
                <w:b w:val="0"/>
                <w:sz w:val="24"/>
                <w:szCs w:val="24"/>
              </w:rPr>
              <w:t xml:space="preserve">“Finding 2013-2 Material Weakness in Internal Control over Financial Reporting- Equipment Capitalization and Depreciation: </w:t>
            </w:r>
          </w:p>
          <w:p w14:paraId="4857FA97" w14:textId="77777777" w:rsidR="00750554" w:rsidRDefault="00750554" w:rsidP="009E5DCC">
            <w:pPr>
              <w:rPr>
                <w:rFonts w:asciiTheme="minorHAnsi" w:hAnsiTheme="minorHAnsi"/>
                <w:b w:val="0"/>
                <w:sz w:val="24"/>
                <w:szCs w:val="24"/>
              </w:rPr>
            </w:pPr>
          </w:p>
          <w:p w14:paraId="01507FE7" w14:textId="0B2A51BF" w:rsidR="00750554" w:rsidRDefault="00750554" w:rsidP="009E5DCC">
            <w:pPr>
              <w:rPr>
                <w:rFonts w:asciiTheme="minorHAnsi" w:hAnsiTheme="minorHAnsi"/>
                <w:b w:val="0"/>
                <w:sz w:val="24"/>
                <w:szCs w:val="24"/>
              </w:rPr>
            </w:pPr>
            <w:r>
              <w:rPr>
                <w:rFonts w:asciiTheme="minorHAnsi" w:hAnsiTheme="minorHAnsi"/>
                <w:b w:val="0"/>
                <w:sz w:val="24"/>
                <w:szCs w:val="24"/>
              </w:rPr>
              <w:t xml:space="preserve">We recommend that management develop and implement processes and procedures to ensure all capital assets are properly classified and begin depreciation when they are ready for use. </w:t>
            </w:r>
          </w:p>
          <w:p w14:paraId="718ECA0D" w14:textId="4B4D775C" w:rsidR="00750554" w:rsidRDefault="00750554" w:rsidP="009E5DCC">
            <w:pPr>
              <w:rPr>
                <w:rFonts w:asciiTheme="minorHAnsi" w:hAnsiTheme="minorHAnsi"/>
                <w:b w:val="0"/>
                <w:sz w:val="24"/>
                <w:szCs w:val="24"/>
              </w:rPr>
            </w:pPr>
            <w:r>
              <w:rPr>
                <w:rFonts w:asciiTheme="minorHAnsi" w:hAnsiTheme="minorHAnsi"/>
                <w:b w:val="0"/>
                <w:sz w:val="24"/>
                <w:szCs w:val="24"/>
              </w:rPr>
              <w:t>Status: Corrected.”</w:t>
            </w:r>
          </w:p>
          <w:p w14:paraId="739B37BB" w14:textId="2FD80CA9" w:rsidR="00750554" w:rsidRDefault="00750554" w:rsidP="009E5DCC">
            <w:pPr>
              <w:rPr>
                <w:rFonts w:asciiTheme="minorHAnsi" w:hAnsiTheme="minorHAnsi"/>
                <w:sz w:val="24"/>
                <w:szCs w:val="24"/>
              </w:rPr>
            </w:pPr>
          </w:p>
        </w:tc>
        <w:tc>
          <w:tcPr>
            <w:tcW w:w="1846" w:type="dxa"/>
          </w:tcPr>
          <w:p w14:paraId="24B5E3D7" w14:textId="75E8DDF5" w:rsidR="00750554" w:rsidRDefault="00750554" w:rsidP="00F76260">
            <w:pPr>
              <w:cnfStyle w:val="000000010000" w:firstRow="0" w:lastRow="0" w:firstColumn="0" w:lastColumn="0" w:oddVBand="0" w:evenVBand="0" w:oddHBand="0" w:evenHBand="1" w:firstRowFirstColumn="0" w:firstRowLastColumn="0" w:lastRowFirstColumn="0" w:lastRowLastColumn="0"/>
              <w:rPr>
                <w:sz w:val="24"/>
              </w:rPr>
            </w:pPr>
            <w:r>
              <w:rPr>
                <w:sz w:val="24"/>
              </w:rPr>
              <w:lastRenderedPageBreak/>
              <w:t>Shows where expensing of assets had led to an audit finding</w:t>
            </w:r>
          </w:p>
        </w:tc>
        <w:tc>
          <w:tcPr>
            <w:tcW w:w="1569" w:type="dxa"/>
          </w:tcPr>
          <w:p w14:paraId="70F27FF3" w14:textId="01980288" w:rsidR="00750554" w:rsidRDefault="00750554" w:rsidP="00F76260">
            <w:pPr>
              <w:cnfStyle w:val="000000010000" w:firstRow="0" w:lastRow="0" w:firstColumn="0" w:lastColumn="0" w:oddVBand="0" w:evenVBand="0" w:oddHBand="0" w:evenHBand="1" w:firstRowFirstColumn="0" w:firstRowLastColumn="0" w:lastRowFirstColumn="0" w:lastRowLastColumn="0"/>
              <w:rPr>
                <w:sz w:val="24"/>
              </w:rPr>
            </w:pPr>
            <w:r>
              <w:rPr>
                <w:sz w:val="24"/>
              </w:rPr>
              <w:t>N/A</w:t>
            </w:r>
          </w:p>
        </w:tc>
        <w:tc>
          <w:tcPr>
            <w:tcW w:w="1805" w:type="dxa"/>
          </w:tcPr>
          <w:p w14:paraId="22238D1B" w14:textId="49FA242E" w:rsidR="00750554" w:rsidRDefault="00750554" w:rsidP="00F76260">
            <w:pPr>
              <w:cnfStyle w:val="000000010000" w:firstRow="0" w:lastRow="0" w:firstColumn="0" w:lastColumn="0" w:oddVBand="0" w:evenVBand="0" w:oddHBand="0" w:evenHBand="1" w:firstRowFirstColumn="0" w:firstRowLastColumn="0" w:lastRowFirstColumn="0" w:lastRowLastColumn="0"/>
              <w:rPr>
                <w:sz w:val="24"/>
              </w:rPr>
            </w:pPr>
            <w:r>
              <w:rPr>
                <w:sz w:val="24"/>
              </w:rPr>
              <w:t xml:space="preserve"> N/A</w:t>
            </w:r>
          </w:p>
        </w:tc>
        <w:tc>
          <w:tcPr>
            <w:tcW w:w="2340" w:type="dxa"/>
          </w:tcPr>
          <w:p w14:paraId="48E91A27" w14:textId="1C4AD70C" w:rsidR="00750554" w:rsidRDefault="00750554" w:rsidP="00F76260">
            <w:pPr>
              <w:cnfStyle w:val="000000010000" w:firstRow="0" w:lastRow="0" w:firstColumn="0" w:lastColumn="0" w:oddVBand="0" w:evenVBand="0" w:oddHBand="0" w:evenHBand="1" w:firstRowFirstColumn="0" w:firstRowLastColumn="0" w:lastRowFirstColumn="0" w:lastRowLastColumn="0"/>
              <w:rPr>
                <w:sz w:val="24"/>
              </w:rPr>
            </w:pPr>
            <w:r>
              <w:rPr>
                <w:sz w:val="24"/>
              </w:rPr>
              <w:t>N/A</w:t>
            </w:r>
          </w:p>
        </w:tc>
      </w:tr>
      <w:tr w:rsidR="00750554" w:rsidRPr="00655FDE" w14:paraId="48E7D9B3" w14:textId="77777777" w:rsidTr="00D9457C">
        <w:trPr>
          <w:cnfStyle w:val="000000100000" w:firstRow="0" w:lastRow="0" w:firstColumn="0" w:lastColumn="0" w:oddVBand="0" w:evenVBand="0" w:oddHBand="1" w:evenHBand="0" w:firstRowFirstColumn="0" w:firstRowLastColumn="0" w:lastRowFirstColumn="0" w:lastRowLastColumn="0"/>
          <w:trHeight w:val="1330"/>
          <w:jc w:val="center"/>
        </w:trPr>
        <w:tc>
          <w:tcPr>
            <w:cnfStyle w:val="001000000000" w:firstRow="0" w:lastRow="0" w:firstColumn="1" w:lastColumn="0" w:oddVBand="0" w:evenVBand="0" w:oddHBand="0" w:evenHBand="0" w:firstRowFirstColumn="0" w:firstRowLastColumn="0" w:lastRowFirstColumn="0" w:lastRowLastColumn="0"/>
            <w:tcW w:w="6110" w:type="dxa"/>
          </w:tcPr>
          <w:p w14:paraId="3251C314" w14:textId="323DC906" w:rsidR="00592BDD" w:rsidRPr="00FB27BD" w:rsidRDefault="00592BDD" w:rsidP="00592BDD">
            <w:pPr>
              <w:rPr>
                <w:rFonts w:asciiTheme="minorHAnsi" w:hAnsiTheme="minorHAnsi"/>
                <w:sz w:val="24"/>
                <w:szCs w:val="24"/>
              </w:rPr>
            </w:pPr>
            <w:bookmarkStart w:id="3" w:name="_MailEndCompose"/>
            <w:r w:rsidRPr="00FB27BD">
              <w:rPr>
                <w:rFonts w:asciiTheme="minorHAnsi" w:hAnsiTheme="minorHAnsi"/>
                <w:sz w:val="24"/>
                <w:szCs w:val="24"/>
              </w:rPr>
              <w:t xml:space="preserve">Excerpt from email correspondence with Joan Miller, Grant Thornton Audit Partner, October 2, 2018: </w:t>
            </w:r>
          </w:p>
          <w:p w14:paraId="1469FC9C" w14:textId="320A93A0" w:rsidR="00592BDD" w:rsidRPr="00716F28" w:rsidRDefault="00592BDD" w:rsidP="00750554">
            <w:pPr>
              <w:autoSpaceDE w:val="0"/>
              <w:autoSpaceDN w:val="0"/>
              <w:rPr>
                <w:rFonts w:asciiTheme="minorHAnsi" w:hAnsiTheme="minorHAnsi"/>
                <w:sz w:val="24"/>
                <w:szCs w:val="24"/>
              </w:rPr>
            </w:pPr>
          </w:p>
          <w:p w14:paraId="477645E8" w14:textId="25419FF1" w:rsidR="00750554" w:rsidRPr="00716F28" w:rsidRDefault="00592BDD" w:rsidP="00D9457C">
            <w:pPr>
              <w:autoSpaceDE w:val="0"/>
              <w:autoSpaceDN w:val="0"/>
              <w:rPr>
                <w:rFonts w:ascii="Arial" w:hAnsi="Arial"/>
                <w:b w:val="0"/>
                <w:sz w:val="20"/>
              </w:rPr>
            </w:pPr>
            <w:r w:rsidRPr="00716F28">
              <w:rPr>
                <w:rFonts w:asciiTheme="minorHAnsi" w:hAnsiTheme="minorHAnsi"/>
                <w:b w:val="0"/>
                <w:sz w:val="24"/>
                <w:szCs w:val="24"/>
              </w:rPr>
              <w:t xml:space="preserve">“{MCCS}’ </w:t>
            </w:r>
            <w:r w:rsidR="00750554" w:rsidRPr="00716F28">
              <w:rPr>
                <w:rFonts w:asciiTheme="minorHAnsi" w:hAnsiTheme="minorHAnsi"/>
                <w:b w:val="0"/>
                <w:sz w:val="24"/>
                <w:szCs w:val="24"/>
              </w:rPr>
              <w:t>consolidated financial statements are presented in accordance with accounting principles prescribed or permitted by Volume 13 of the U.S. Department of Defense Financial Management Regulation 7000.14-R and U.S. Department of Defense Instruction 1015.15, which collectively vary in some respects from accounting principles generally accepted in the United States of America.</w:t>
            </w:r>
            <w:bookmarkEnd w:id="3"/>
            <w:r w:rsidRPr="00716F28">
              <w:rPr>
                <w:rFonts w:asciiTheme="minorHAnsi" w:hAnsiTheme="minorHAnsi"/>
                <w:b w:val="0"/>
                <w:sz w:val="24"/>
                <w:szCs w:val="24"/>
              </w:rPr>
              <w:t>”</w:t>
            </w:r>
          </w:p>
        </w:tc>
        <w:tc>
          <w:tcPr>
            <w:tcW w:w="1846" w:type="dxa"/>
          </w:tcPr>
          <w:p w14:paraId="1F64C0F5" w14:textId="29106B21" w:rsidR="00750554" w:rsidRDefault="00750554" w:rsidP="00F76260">
            <w:pPr>
              <w:cnfStyle w:val="000000100000" w:firstRow="0" w:lastRow="0" w:firstColumn="0" w:lastColumn="0" w:oddVBand="0" w:evenVBand="0" w:oddHBand="1" w:evenHBand="0" w:firstRowFirstColumn="0" w:firstRowLastColumn="0" w:lastRowFirstColumn="0" w:lastRowLastColumn="0"/>
              <w:rPr>
                <w:sz w:val="24"/>
              </w:rPr>
            </w:pPr>
          </w:p>
        </w:tc>
        <w:tc>
          <w:tcPr>
            <w:tcW w:w="1569" w:type="dxa"/>
          </w:tcPr>
          <w:p w14:paraId="774B2B27" w14:textId="66CB27CC" w:rsidR="00750554" w:rsidRDefault="00750554" w:rsidP="00D9457C">
            <w:pPr>
              <w:cnfStyle w:val="000000100000" w:firstRow="0" w:lastRow="0" w:firstColumn="0" w:lastColumn="0" w:oddVBand="0" w:evenVBand="0" w:oddHBand="1" w:evenHBand="0" w:firstRowFirstColumn="0" w:firstRowLastColumn="0" w:lastRowFirstColumn="0" w:lastRowLastColumn="0"/>
              <w:rPr>
                <w:sz w:val="24"/>
              </w:rPr>
            </w:pPr>
          </w:p>
        </w:tc>
        <w:tc>
          <w:tcPr>
            <w:tcW w:w="1805" w:type="dxa"/>
          </w:tcPr>
          <w:p w14:paraId="19C36132" w14:textId="1AC2A87C" w:rsidR="00750554" w:rsidRDefault="00750554" w:rsidP="00D9457C">
            <w:pPr>
              <w:cnfStyle w:val="000000100000" w:firstRow="0" w:lastRow="0" w:firstColumn="0" w:lastColumn="0" w:oddVBand="0" w:evenVBand="0" w:oddHBand="1" w:evenHBand="0" w:firstRowFirstColumn="0" w:firstRowLastColumn="0" w:lastRowFirstColumn="0" w:lastRowLastColumn="0"/>
              <w:rPr>
                <w:sz w:val="24"/>
              </w:rPr>
            </w:pPr>
          </w:p>
        </w:tc>
        <w:tc>
          <w:tcPr>
            <w:tcW w:w="2340" w:type="dxa"/>
          </w:tcPr>
          <w:p w14:paraId="77746F89" w14:textId="0C7398AF" w:rsidR="00750554" w:rsidRDefault="001B551C" w:rsidP="00F76260">
            <w:pPr>
              <w:cnfStyle w:val="000000100000" w:firstRow="0" w:lastRow="0" w:firstColumn="0" w:lastColumn="0" w:oddVBand="0" w:evenVBand="0" w:oddHBand="1" w:evenHBand="0" w:firstRowFirstColumn="0" w:firstRowLastColumn="0" w:lastRowFirstColumn="0" w:lastRowLastColumn="0"/>
              <w:rPr>
                <w:sz w:val="24"/>
              </w:rPr>
            </w:pPr>
            <w:r>
              <w:rPr>
                <w:sz w:val="24"/>
              </w:rPr>
              <w:t>Audited based on FMR and 1015.15, which are intended to be based upon FASB GAAP</w:t>
            </w:r>
          </w:p>
        </w:tc>
      </w:tr>
      <w:tr w:rsidR="00592BDD" w:rsidRPr="00655FDE" w14:paraId="1D913118" w14:textId="77777777" w:rsidTr="001B551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10" w:type="dxa"/>
          </w:tcPr>
          <w:p w14:paraId="064522D1" w14:textId="1CD4023D" w:rsidR="00592BDD" w:rsidRPr="00716F28" w:rsidRDefault="00592BDD" w:rsidP="00592BDD">
            <w:pPr>
              <w:rPr>
                <w:rFonts w:asciiTheme="minorHAnsi" w:hAnsiTheme="minorHAnsi"/>
                <w:sz w:val="24"/>
                <w:szCs w:val="24"/>
              </w:rPr>
            </w:pPr>
            <w:r w:rsidRPr="00716F28">
              <w:rPr>
                <w:rFonts w:asciiTheme="minorHAnsi" w:hAnsiTheme="minorHAnsi"/>
                <w:sz w:val="24"/>
                <w:szCs w:val="24"/>
              </w:rPr>
              <w:t xml:space="preserve"> Relevant Excepts from the FMR: </w:t>
            </w:r>
          </w:p>
          <w:p w14:paraId="25556087" w14:textId="77777777" w:rsidR="00592BDD" w:rsidRPr="00716F28" w:rsidRDefault="00592BDD" w:rsidP="00592BDD">
            <w:pPr>
              <w:rPr>
                <w:rFonts w:asciiTheme="minorHAnsi" w:hAnsiTheme="minorHAnsi"/>
                <w:b w:val="0"/>
                <w:sz w:val="24"/>
                <w:szCs w:val="24"/>
              </w:rPr>
            </w:pPr>
            <w:r w:rsidRPr="00716F28">
              <w:rPr>
                <w:rFonts w:asciiTheme="minorHAnsi" w:hAnsiTheme="minorHAnsi"/>
                <w:sz w:val="24"/>
                <w:szCs w:val="24"/>
              </w:rPr>
              <w:t xml:space="preserve">Volume 13, Chapter 1: </w:t>
            </w:r>
          </w:p>
          <w:p w14:paraId="3D87C66C" w14:textId="77777777" w:rsidR="00592BDD" w:rsidRPr="00716F28" w:rsidRDefault="00592BDD" w:rsidP="00592BDD">
            <w:pPr>
              <w:rPr>
                <w:rFonts w:asciiTheme="minorHAnsi" w:hAnsiTheme="minorHAnsi"/>
                <w:b w:val="0"/>
                <w:sz w:val="24"/>
                <w:szCs w:val="24"/>
              </w:rPr>
            </w:pPr>
          </w:p>
          <w:p w14:paraId="5764E226" w14:textId="4C1ADC71" w:rsidR="00592BDD" w:rsidRPr="00716F28" w:rsidRDefault="00592BDD" w:rsidP="00592BDD">
            <w:pPr>
              <w:ind w:left="720"/>
              <w:rPr>
                <w:rFonts w:asciiTheme="minorHAnsi" w:hAnsiTheme="minorHAnsi"/>
                <w:b w:val="0"/>
                <w:iCs/>
                <w:sz w:val="24"/>
                <w:szCs w:val="24"/>
              </w:rPr>
            </w:pPr>
            <w:r w:rsidRPr="00716F28">
              <w:rPr>
                <w:rFonts w:asciiTheme="minorHAnsi" w:hAnsiTheme="minorHAnsi"/>
                <w:b w:val="0"/>
                <w:iCs/>
                <w:sz w:val="24"/>
                <w:szCs w:val="24"/>
              </w:rPr>
              <w:t xml:space="preserve">“B. …the Federal Accounting Standards Board (FASB) as the organization that establishes standards for financial accounting and reporting in the private sector. Since NAFI business operations are similar to the private sector, financial statements are prepared and presented to  comply with accounting standards promulgated by FASB.” </w:t>
            </w:r>
          </w:p>
          <w:p w14:paraId="5444B41B" w14:textId="77777777" w:rsidR="00592BDD" w:rsidRPr="00592BDD" w:rsidRDefault="00592BDD" w:rsidP="00592BDD">
            <w:pPr>
              <w:rPr>
                <w:sz w:val="20"/>
              </w:rPr>
            </w:pPr>
          </w:p>
          <w:p w14:paraId="6ABE43A7" w14:textId="5CD9CED9" w:rsidR="00592BDD" w:rsidRPr="00716F28" w:rsidRDefault="00D9457C" w:rsidP="00592BDD">
            <w:pPr>
              <w:rPr>
                <w:rFonts w:asciiTheme="minorHAnsi" w:hAnsiTheme="minorHAnsi"/>
                <w:sz w:val="24"/>
                <w:szCs w:val="24"/>
              </w:rPr>
            </w:pPr>
            <w:r w:rsidRPr="00716F28">
              <w:rPr>
                <w:rFonts w:asciiTheme="minorHAnsi" w:hAnsiTheme="minorHAnsi"/>
                <w:sz w:val="24"/>
                <w:szCs w:val="24"/>
              </w:rPr>
              <w:t xml:space="preserve">DODI 7600.06: </w:t>
            </w:r>
          </w:p>
          <w:p w14:paraId="20364153" w14:textId="77777777" w:rsidR="00592BDD" w:rsidRPr="00716F28" w:rsidRDefault="00592BDD" w:rsidP="00592BDD">
            <w:pPr>
              <w:rPr>
                <w:rFonts w:asciiTheme="minorHAnsi" w:hAnsiTheme="minorHAnsi"/>
                <w:sz w:val="24"/>
                <w:szCs w:val="24"/>
              </w:rPr>
            </w:pPr>
          </w:p>
          <w:p w14:paraId="79D1A77A" w14:textId="37990A78" w:rsidR="00592BDD" w:rsidRPr="00716F28" w:rsidRDefault="00592BDD" w:rsidP="00716F28">
            <w:pPr>
              <w:ind w:left="720"/>
              <w:rPr>
                <w:rFonts w:asciiTheme="minorHAnsi" w:hAnsiTheme="minorHAnsi"/>
                <w:b w:val="0"/>
                <w:sz w:val="24"/>
                <w:szCs w:val="24"/>
              </w:rPr>
            </w:pPr>
            <w:r w:rsidRPr="00716F28">
              <w:rPr>
                <w:rFonts w:asciiTheme="minorHAnsi" w:hAnsiTheme="minorHAnsi"/>
                <w:b w:val="0"/>
                <w:iCs/>
                <w:sz w:val="24"/>
                <w:szCs w:val="24"/>
              </w:rPr>
              <w:t>“NAF accounting systems must comply with generally accepted accounting principles (GAAP) in accordance with accounting standards distributed by the Financial Accounting Standards Board. NAF accounting systems shall comply with the uniform chart of accounts established in DoD 7000.14-R (Reference (e)), except the Armed Services Exchanges, which maintain a uniform chart of accounts in accordance with Reference (d).”</w:t>
            </w:r>
          </w:p>
        </w:tc>
        <w:tc>
          <w:tcPr>
            <w:tcW w:w="1846" w:type="dxa"/>
          </w:tcPr>
          <w:p w14:paraId="7B12DFD0" w14:textId="77777777" w:rsidR="00592BDD" w:rsidRDefault="00592BDD" w:rsidP="00F76260">
            <w:pPr>
              <w:cnfStyle w:val="000000010000" w:firstRow="0" w:lastRow="0" w:firstColumn="0" w:lastColumn="0" w:oddVBand="0" w:evenVBand="0" w:oddHBand="0" w:evenHBand="1" w:firstRowFirstColumn="0" w:firstRowLastColumn="0" w:lastRowFirstColumn="0" w:lastRowLastColumn="0"/>
              <w:rPr>
                <w:sz w:val="24"/>
              </w:rPr>
            </w:pPr>
          </w:p>
        </w:tc>
        <w:tc>
          <w:tcPr>
            <w:tcW w:w="1569" w:type="dxa"/>
          </w:tcPr>
          <w:p w14:paraId="1E212F5E" w14:textId="77777777" w:rsidR="00592BDD" w:rsidRDefault="00592BDD" w:rsidP="00F76260">
            <w:pPr>
              <w:cnfStyle w:val="000000010000" w:firstRow="0" w:lastRow="0" w:firstColumn="0" w:lastColumn="0" w:oddVBand="0" w:evenVBand="0" w:oddHBand="0" w:evenHBand="1" w:firstRowFirstColumn="0" w:firstRowLastColumn="0" w:lastRowFirstColumn="0" w:lastRowLastColumn="0"/>
              <w:rPr>
                <w:sz w:val="24"/>
              </w:rPr>
            </w:pPr>
          </w:p>
        </w:tc>
        <w:tc>
          <w:tcPr>
            <w:tcW w:w="1805" w:type="dxa"/>
          </w:tcPr>
          <w:p w14:paraId="7A22E5E9" w14:textId="77777777" w:rsidR="00592BDD" w:rsidRDefault="00592BDD" w:rsidP="00F76260">
            <w:pPr>
              <w:cnfStyle w:val="000000010000" w:firstRow="0" w:lastRow="0" w:firstColumn="0" w:lastColumn="0" w:oddVBand="0" w:evenVBand="0" w:oddHBand="0" w:evenHBand="1" w:firstRowFirstColumn="0" w:firstRowLastColumn="0" w:lastRowFirstColumn="0" w:lastRowLastColumn="0"/>
              <w:rPr>
                <w:sz w:val="24"/>
              </w:rPr>
            </w:pPr>
          </w:p>
        </w:tc>
        <w:tc>
          <w:tcPr>
            <w:tcW w:w="2340" w:type="dxa"/>
          </w:tcPr>
          <w:p w14:paraId="27DB27C3" w14:textId="77777777" w:rsidR="00592BDD" w:rsidRDefault="00592BDD" w:rsidP="00F76260">
            <w:pPr>
              <w:cnfStyle w:val="000000010000" w:firstRow="0" w:lastRow="0" w:firstColumn="0" w:lastColumn="0" w:oddVBand="0" w:evenVBand="0" w:oddHBand="0" w:evenHBand="1" w:firstRowFirstColumn="0" w:firstRowLastColumn="0" w:lastRowFirstColumn="0" w:lastRowLastColumn="0"/>
              <w:rPr>
                <w:sz w:val="24"/>
              </w:rPr>
            </w:pPr>
          </w:p>
        </w:tc>
      </w:tr>
      <w:tr w:rsidR="00F76260" w:rsidRPr="00655FDE" w14:paraId="6C9F9E56" w14:textId="77777777" w:rsidTr="001B55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10" w:type="dxa"/>
          </w:tcPr>
          <w:p w14:paraId="6C9F9E51" w14:textId="3206F64B" w:rsidR="00F76260" w:rsidRPr="00D952E5" w:rsidRDefault="00F76260" w:rsidP="00776EA8">
            <w:pPr>
              <w:rPr>
                <w:rFonts w:asciiTheme="minorHAnsi" w:hAnsiTheme="minorHAnsi"/>
                <w:sz w:val="24"/>
                <w:szCs w:val="24"/>
              </w:rPr>
            </w:pPr>
            <w:r w:rsidRPr="00D952E5">
              <w:rPr>
                <w:rFonts w:asciiTheme="minorHAnsi" w:hAnsiTheme="minorHAnsi"/>
                <w:sz w:val="24"/>
                <w:szCs w:val="24"/>
              </w:rPr>
              <w:t xml:space="preserve">Industry Practice:  </w:t>
            </w:r>
            <w:r w:rsidR="00776EA8">
              <w:rPr>
                <w:rFonts w:asciiTheme="minorHAnsi" w:hAnsiTheme="minorHAnsi"/>
                <w:b w:val="0"/>
                <w:sz w:val="24"/>
                <w:szCs w:val="24"/>
              </w:rPr>
              <w:t xml:space="preserve">Capitalize fixed asset purchases consistent with GAAP. </w:t>
            </w:r>
          </w:p>
        </w:tc>
        <w:tc>
          <w:tcPr>
            <w:tcW w:w="1846" w:type="dxa"/>
          </w:tcPr>
          <w:p w14:paraId="6C9F9E52" w14:textId="636127EE" w:rsidR="00F76260" w:rsidRPr="00435F4A" w:rsidRDefault="001B551C" w:rsidP="001B551C">
            <w:pPr>
              <w:cnfStyle w:val="000000100000" w:firstRow="0" w:lastRow="0" w:firstColumn="0" w:lastColumn="0" w:oddVBand="0" w:evenVBand="0" w:oddHBand="1" w:evenHBand="0" w:firstRowFirstColumn="0" w:firstRowLastColumn="0" w:lastRowFirstColumn="0" w:lastRowLastColumn="0"/>
              <w:rPr>
                <w:sz w:val="24"/>
              </w:rPr>
            </w:pPr>
            <w:r>
              <w:rPr>
                <w:sz w:val="24"/>
              </w:rPr>
              <w:t>Does not expense assets purchased with UFM/MOA</w:t>
            </w:r>
          </w:p>
        </w:tc>
        <w:tc>
          <w:tcPr>
            <w:tcW w:w="1569" w:type="dxa"/>
          </w:tcPr>
          <w:p w14:paraId="6C9F9E53" w14:textId="5FF84EEC" w:rsidR="00F76260" w:rsidRPr="00435F4A" w:rsidRDefault="001B551C" w:rsidP="00F76260">
            <w:pPr>
              <w:cnfStyle w:val="000000100000" w:firstRow="0" w:lastRow="0" w:firstColumn="0" w:lastColumn="0" w:oddVBand="0" w:evenVBand="0" w:oddHBand="1" w:evenHBand="0" w:firstRowFirstColumn="0" w:firstRowLastColumn="0" w:lastRowFirstColumn="0" w:lastRowLastColumn="0"/>
              <w:rPr>
                <w:sz w:val="24"/>
              </w:rPr>
            </w:pPr>
            <w:r>
              <w:rPr>
                <w:sz w:val="24"/>
              </w:rPr>
              <w:t>Unclear</w:t>
            </w:r>
          </w:p>
        </w:tc>
        <w:tc>
          <w:tcPr>
            <w:tcW w:w="1805" w:type="dxa"/>
          </w:tcPr>
          <w:p w14:paraId="6C9F9E54" w14:textId="4544E58C" w:rsidR="00F76260" w:rsidRPr="00435F4A" w:rsidRDefault="001B551C" w:rsidP="00F76260">
            <w:pPr>
              <w:cnfStyle w:val="000000100000" w:firstRow="0" w:lastRow="0" w:firstColumn="0" w:lastColumn="0" w:oddVBand="0" w:evenVBand="0" w:oddHBand="1" w:evenHBand="0" w:firstRowFirstColumn="0" w:firstRowLastColumn="0" w:lastRowFirstColumn="0" w:lastRowLastColumn="0"/>
              <w:rPr>
                <w:sz w:val="24"/>
              </w:rPr>
            </w:pPr>
            <w:r>
              <w:rPr>
                <w:sz w:val="24"/>
              </w:rPr>
              <w:t>Unclear</w:t>
            </w:r>
          </w:p>
        </w:tc>
        <w:tc>
          <w:tcPr>
            <w:tcW w:w="2340" w:type="dxa"/>
          </w:tcPr>
          <w:p w14:paraId="6C9F9E55" w14:textId="7CEF66EC" w:rsidR="00F76260" w:rsidRPr="00435F4A" w:rsidRDefault="00E15739" w:rsidP="00F76260">
            <w:pPr>
              <w:cnfStyle w:val="000000100000" w:firstRow="0" w:lastRow="0" w:firstColumn="0" w:lastColumn="0" w:oddVBand="0" w:evenVBand="0" w:oddHBand="1" w:evenHBand="0" w:firstRowFirstColumn="0" w:firstRowLastColumn="0" w:lastRowFirstColumn="0" w:lastRowLastColumn="0"/>
              <w:rPr>
                <w:sz w:val="24"/>
              </w:rPr>
            </w:pPr>
            <w:r>
              <w:rPr>
                <w:sz w:val="24"/>
              </w:rPr>
              <w:t>Unclear</w:t>
            </w:r>
          </w:p>
        </w:tc>
      </w:tr>
    </w:tbl>
    <w:p w14:paraId="4C84138E" w14:textId="77777777" w:rsidR="00FB27BD" w:rsidRDefault="00FB27BD" w:rsidP="00776EA8">
      <w:pPr>
        <w:pStyle w:val="Heading1"/>
        <w:tabs>
          <w:tab w:val="left" w:pos="6675"/>
        </w:tabs>
        <w:ind w:left="-2160" w:firstLine="180"/>
        <w:rPr>
          <w:sz w:val="24"/>
        </w:rPr>
      </w:pPr>
    </w:p>
    <w:p w14:paraId="506115C6" w14:textId="26DAFF64" w:rsidR="00776EA8" w:rsidRDefault="00776EA8" w:rsidP="00776EA8">
      <w:pPr>
        <w:pStyle w:val="Heading1"/>
        <w:tabs>
          <w:tab w:val="left" w:pos="6675"/>
        </w:tabs>
        <w:ind w:left="-2160" w:firstLine="180"/>
        <w:rPr>
          <w:sz w:val="24"/>
        </w:rPr>
      </w:pPr>
      <w:r>
        <w:rPr>
          <w:sz w:val="24"/>
        </w:rPr>
        <w:t xml:space="preserve">Discussion </w:t>
      </w:r>
    </w:p>
    <w:p w14:paraId="31181982" w14:textId="0511559D" w:rsidR="002A7741" w:rsidRDefault="00FB27BD" w:rsidP="00FB27BD">
      <w:pPr>
        <w:ind w:left="-810"/>
        <w:rPr>
          <w:sz w:val="24"/>
        </w:rPr>
      </w:pPr>
      <w:r>
        <w:rPr>
          <w:sz w:val="24"/>
        </w:rPr>
        <w:t>GAAP, FASB, and industry practice is to capitalize fixed assets and then depreciate them over the useful life of the asset. Assets purchased with UFM include the concept of appropriated funds that are able to be used for NAFI asset purchases. As a result, i</w:t>
      </w:r>
      <w:r w:rsidR="00BA6FC9">
        <w:rPr>
          <w:sz w:val="24"/>
        </w:rPr>
        <w:t>t was conjectured at the Working Group meeting that depreciation of an asset purchased via the UFM/MOA process could violate Anti-Deficiency Act</w:t>
      </w:r>
      <w:r w:rsidR="00AE6FFE">
        <w:rPr>
          <w:sz w:val="24"/>
        </w:rPr>
        <w:t xml:space="preserve"> (ADA)</w:t>
      </w:r>
      <w:r w:rsidR="00BA6FC9">
        <w:rPr>
          <w:sz w:val="24"/>
        </w:rPr>
        <w:t xml:space="preserve"> provisions </w:t>
      </w:r>
      <w:r w:rsidR="00F77466">
        <w:rPr>
          <w:sz w:val="24"/>
        </w:rPr>
        <w:t>of</w:t>
      </w:r>
      <w:r w:rsidR="00BA6FC9">
        <w:rPr>
          <w:sz w:val="24"/>
        </w:rPr>
        <w:t xml:space="preserve"> incurring expenses against an appropriation outside of the active period, or continuing to expense on old obligations after the appropriation fully expired. </w:t>
      </w:r>
      <w:r>
        <w:rPr>
          <w:sz w:val="24"/>
        </w:rPr>
        <w:t xml:space="preserve">Based on the Working Group discussion held on October 25, 2018, </w:t>
      </w:r>
      <w:r w:rsidR="00FE406A">
        <w:rPr>
          <w:sz w:val="24"/>
        </w:rPr>
        <w:t>it was determined that assets purchased with MOA/UFM should be expensed in accordance with the FMR and 1015.15 based on APF regulations.</w:t>
      </w:r>
    </w:p>
    <w:p w14:paraId="5967357A" w14:textId="54771BF0" w:rsidR="00076E6B" w:rsidRDefault="00076E6B" w:rsidP="00EA785F">
      <w:pPr>
        <w:rPr>
          <w:sz w:val="24"/>
        </w:rPr>
      </w:pPr>
    </w:p>
    <w:p w14:paraId="568A6FEC" w14:textId="77777777" w:rsidR="002A2C65" w:rsidRDefault="002A2C65" w:rsidP="00957C3D">
      <w:pPr>
        <w:ind w:left="-810"/>
        <w:rPr>
          <w:sz w:val="24"/>
        </w:rPr>
      </w:pPr>
    </w:p>
    <w:p w14:paraId="6C9F9E63" w14:textId="62C904D5" w:rsidR="00FE3532" w:rsidRDefault="00F76260" w:rsidP="007114E2">
      <w:pPr>
        <w:pStyle w:val="Heading1"/>
        <w:tabs>
          <w:tab w:val="left" w:pos="6675"/>
        </w:tabs>
        <w:ind w:left="-2160" w:firstLine="180"/>
        <w:rPr>
          <w:sz w:val="24"/>
        </w:rPr>
      </w:pPr>
      <w:r>
        <w:rPr>
          <w:sz w:val="24"/>
        </w:rPr>
        <w:t>Recommendation</w:t>
      </w:r>
      <w:r w:rsidR="00FE3532">
        <w:rPr>
          <w:sz w:val="24"/>
        </w:rPr>
        <w:t xml:space="preserve"> </w:t>
      </w:r>
    </w:p>
    <w:p w14:paraId="1B05358D" w14:textId="5D292233" w:rsidR="00076E6B" w:rsidRDefault="00AE6FFE" w:rsidP="00C11C7D">
      <w:pPr>
        <w:ind w:left="-810"/>
        <w:rPr>
          <w:sz w:val="24"/>
        </w:rPr>
      </w:pPr>
      <w:r>
        <w:rPr>
          <w:sz w:val="24"/>
        </w:rPr>
        <w:t>W</w:t>
      </w:r>
      <w:r w:rsidR="00076E6B">
        <w:rPr>
          <w:sz w:val="24"/>
        </w:rPr>
        <w:t xml:space="preserve">e recommend the </w:t>
      </w:r>
      <w:r w:rsidR="00FE406A">
        <w:rPr>
          <w:sz w:val="24"/>
        </w:rPr>
        <w:t xml:space="preserve">Services follow the </w:t>
      </w:r>
      <w:r w:rsidR="00076E6B">
        <w:rPr>
          <w:sz w:val="24"/>
        </w:rPr>
        <w:t xml:space="preserve">FMR and DoDI 1015.15 </w:t>
      </w:r>
      <w:r w:rsidR="00FE406A">
        <w:rPr>
          <w:sz w:val="24"/>
        </w:rPr>
        <w:t xml:space="preserve">instruction of expensing assets purchased with MOA/UFM. </w:t>
      </w:r>
    </w:p>
    <w:p w14:paraId="322425D0" w14:textId="2BC4DBED" w:rsidR="00D56512" w:rsidRDefault="00D56512" w:rsidP="00C11C7D">
      <w:pPr>
        <w:ind w:left="-810"/>
        <w:rPr>
          <w:sz w:val="24"/>
        </w:rPr>
      </w:pPr>
    </w:p>
    <w:p w14:paraId="6F33D3E8" w14:textId="71D1BA84" w:rsidR="00AE6FFE" w:rsidRDefault="00D56512" w:rsidP="00C11C7D">
      <w:pPr>
        <w:ind w:left="-810"/>
        <w:rPr>
          <w:sz w:val="24"/>
        </w:rPr>
      </w:pPr>
      <w:r>
        <w:rPr>
          <w:sz w:val="24"/>
        </w:rPr>
        <w:t>Additionally, we recommend that OSD</w:t>
      </w:r>
      <w:r w:rsidR="00A87663">
        <w:rPr>
          <w:sz w:val="24"/>
        </w:rPr>
        <w:t xml:space="preserve"> work with DFAS</w:t>
      </w:r>
      <w:r>
        <w:rPr>
          <w:sz w:val="24"/>
        </w:rPr>
        <w:t xml:space="preserve"> </w:t>
      </w:r>
      <w:r w:rsidR="00FE406A">
        <w:rPr>
          <w:sz w:val="24"/>
        </w:rPr>
        <w:t xml:space="preserve">to </w:t>
      </w:r>
      <w:r>
        <w:rPr>
          <w:sz w:val="24"/>
        </w:rPr>
        <w:t>clarify the language in the DoDI 1015.15 and the DoDI 7600.06 regarding standards for auditing NAFI financial statements. The FMR notes that it and the DODI 1015.15</w:t>
      </w:r>
      <w:r w:rsidR="00A87663">
        <w:rPr>
          <w:sz w:val="24"/>
        </w:rPr>
        <w:t xml:space="preserve"> are</w:t>
      </w:r>
      <w:r>
        <w:rPr>
          <w:sz w:val="24"/>
        </w:rPr>
        <w:t xml:space="preserve"> based upon FASB GAAP. However, the deviations from GAAP (whether by design or by passage of time) are not clearly demarcated</w:t>
      </w:r>
      <w:r w:rsidR="00A87663">
        <w:rPr>
          <w:sz w:val="24"/>
        </w:rPr>
        <w:t xml:space="preserve">, and the DoDI 7600.06 language requires audit based on FASB GAAP. We recommend that the DoDI 7600.06 be changed to state that NAFIs are to be audited according to the FMR and DoDI 1015.15, and we recommend the FMR be updated to clearly demarcate </w:t>
      </w:r>
      <w:r w:rsidR="00A87663" w:rsidRPr="001663AC">
        <w:rPr>
          <w:sz w:val="24"/>
          <w:u w:val="single"/>
        </w:rPr>
        <w:t>and justify</w:t>
      </w:r>
      <w:r w:rsidR="00A87663">
        <w:rPr>
          <w:sz w:val="24"/>
        </w:rPr>
        <w:t xml:space="preserve"> departures from GAAP, with the goal of minimizing such departures.  It is important that the MWR NAFIs be audited according to the same accounting standards so that a clean audit opinion for one NAFI is equivalent to a clean audit opinion for another, which is not currently the case as evidenced by the Air Force audit and the MCCS audit.</w:t>
      </w:r>
    </w:p>
    <w:p w14:paraId="6C9F9E64" w14:textId="013F6028" w:rsidR="00471AE8" w:rsidRDefault="00471AE8" w:rsidP="00716F28">
      <w:pPr>
        <w:rPr>
          <w:sz w:val="24"/>
        </w:rPr>
      </w:pPr>
    </w:p>
    <w:p w14:paraId="2D6E6109" w14:textId="74108F62" w:rsidR="0097547B" w:rsidRDefault="00AB7276" w:rsidP="00296E74">
      <w:pPr>
        <w:pStyle w:val="Heading1"/>
        <w:tabs>
          <w:tab w:val="left" w:pos="6675"/>
        </w:tabs>
        <w:spacing w:line="240" w:lineRule="auto"/>
        <w:ind w:left="-2160" w:firstLine="180"/>
        <w:rPr>
          <w:sz w:val="24"/>
        </w:rPr>
      </w:pPr>
      <w:r>
        <w:rPr>
          <w:sz w:val="24"/>
        </w:rPr>
        <w:t>Service Concurrence</w:t>
      </w:r>
    </w:p>
    <w:tbl>
      <w:tblPr>
        <w:tblStyle w:val="TableGrid"/>
        <w:tblpPr w:leftFromText="180" w:rightFromText="180" w:vertAnchor="text" w:horzAnchor="page" w:tblpX="793" w:tblpY="314"/>
        <w:tblW w:w="13408" w:type="dxa"/>
        <w:tblLook w:val="04A0" w:firstRow="1" w:lastRow="0" w:firstColumn="1" w:lastColumn="0" w:noHBand="0" w:noVBand="1"/>
      </w:tblPr>
      <w:tblGrid>
        <w:gridCol w:w="2065"/>
        <w:gridCol w:w="2970"/>
        <w:gridCol w:w="8373"/>
      </w:tblGrid>
      <w:tr w:rsidR="00EF1D0C" w14:paraId="3FE2CFF8" w14:textId="77777777" w:rsidTr="00A1204E">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E49F5E9" w14:textId="77777777" w:rsidR="00EF1D0C" w:rsidRDefault="00EF1D0C" w:rsidP="00EF1D0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29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66BC39C" w14:textId="77777777" w:rsidR="00EF1D0C" w:rsidRDefault="00EF1D0C" w:rsidP="00EF1D0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37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F3C1AF3" w14:textId="527BF2D5" w:rsidR="00EF1D0C" w:rsidRDefault="00EF1D0C" w:rsidP="00EF1D0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w:t>
            </w:r>
            <w:r w:rsidR="00296E74">
              <w:rPr>
                <w:rFonts w:asciiTheme="minorHAnsi" w:hAnsiTheme="minorHAnsi" w:cstheme="majorHAnsi"/>
                <w:color w:val="auto"/>
                <w:sz w:val="24"/>
              </w:rPr>
              <w:t xml:space="preserve"> for Non-concurrence</w:t>
            </w:r>
          </w:p>
        </w:tc>
      </w:tr>
      <w:tr w:rsidR="00EF1D0C" w14:paraId="11390D50" w14:textId="77777777" w:rsidTr="00A1204E">
        <w:trPr>
          <w:trHeight w:val="515"/>
        </w:trPr>
        <w:tc>
          <w:tcPr>
            <w:tcW w:w="2065" w:type="dxa"/>
            <w:tcBorders>
              <w:top w:val="single" w:sz="4" w:space="0" w:color="auto"/>
              <w:left w:val="single" w:sz="4" w:space="0" w:color="auto"/>
              <w:bottom w:val="single" w:sz="4" w:space="0" w:color="auto"/>
              <w:right w:val="single" w:sz="4" w:space="0" w:color="auto"/>
            </w:tcBorders>
            <w:hideMark/>
          </w:tcPr>
          <w:p w14:paraId="7B5121F3"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2970" w:type="dxa"/>
            <w:tcBorders>
              <w:top w:val="single" w:sz="4" w:space="0" w:color="auto"/>
              <w:left w:val="single" w:sz="4" w:space="0" w:color="auto"/>
              <w:bottom w:val="single" w:sz="4" w:space="0" w:color="auto"/>
              <w:right w:val="single" w:sz="4" w:space="0" w:color="auto"/>
            </w:tcBorders>
          </w:tcPr>
          <w:p w14:paraId="729064B4" w14:textId="7010802F" w:rsidR="00716F28" w:rsidRPr="00716F28" w:rsidRDefault="00716F28" w:rsidP="00716F28">
            <w:pPr>
              <w:pStyle w:val="Heading1"/>
              <w:tabs>
                <w:tab w:val="left" w:pos="6675"/>
              </w:tabs>
              <w:rPr>
                <w:rFonts w:asciiTheme="minorHAnsi" w:hAnsiTheme="minorHAnsi" w:cstheme="majorHAnsi"/>
                <w:b/>
                <w:color w:val="auto"/>
                <w:sz w:val="24"/>
              </w:rPr>
            </w:pPr>
            <w:r w:rsidRPr="00716F28">
              <w:rPr>
                <w:rFonts w:asciiTheme="minorHAnsi" w:hAnsiTheme="minorHAnsi" w:cstheme="majorHAnsi"/>
                <w:b/>
                <w:color w:val="auto"/>
                <w:sz w:val="24"/>
              </w:rPr>
              <w:t>Concurred</w:t>
            </w:r>
            <w:r w:rsidR="00A1204E">
              <w:rPr>
                <w:rFonts w:asciiTheme="minorHAnsi" w:hAnsiTheme="minorHAnsi" w:cstheme="majorHAnsi"/>
                <w:b/>
                <w:color w:val="auto"/>
                <w:sz w:val="24"/>
              </w:rPr>
              <w:t xml:space="preserve"> on</w:t>
            </w:r>
            <w:r w:rsidRPr="00716F28">
              <w:rPr>
                <w:rFonts w:asciiTheme="minorHAnsi" w:hAnsiTheme="minorHAnsi" w:cstheme="majorHAnsi"/>
                <w:b/>
                <w:color w:val="auto"/>
                <w:sz w:val="24"/>
              </w:rPr>
              <w:t xml:space="preserve"> 10/25/18.</w:t>
            </w:r>
          </w:p>
        </w:tc>
        <w:tc>
          <w:tcPr>
            <w:tcW w:w="8373" w:type="dxa"/>
            <w:tcBorders>
              <w:top w:val="single" w:sz="4" w:space="0" w:color="auto"/>
              <w:left w:val="single" w:sz="4" w:space="0" w:color="auto"/>
              <w:bottom w:val="single" w:sz="4" w:space="0" w:color="auto"/>
              <w:right w:val="single" w:sz="4" w:space="0" w:color="auto"/>
            </w:tcBorders>
          </w:tcPr>
          <w:p w14:paraId="2874504B" w14:textId="77777777" w:rsidR="00EF1D0C" w:rsidRDefault="00EF1D0C" w:rsidP="00EF1D0C">
            <w:pPr>
              <w:pStyle w:val="Heading1"/>
              <w:tabs>
                <w:tab w:val="left" w:pos="6675"/>
              </w:tabs>
              <w:rPr>
                <w:rFonts w:asciiTheme="minorHAnsi" w:hAnsiTheme="minorHAnsi" w:cstheme="majorHAnsi"/>
                <w:color w:val="auto"/>
                <w:sz w:val="24"/>
              </w:rPr>
            </w:pPr>
          </w:p>
        </w:tc>
      </w:tr>
      <w:tr w:rsidR="00EF1D0C" w14:paraId="4455AAB9" w14:textId="77777777" w:rsidTr="00A1204E">
        <w:trPr>
          <w:trHeight w:val="488"/>
        </w:trPr>
        <w:tc>
          <w:tcPr>
            <w:tcW w:w="2065" w:type="dxa"/>
            <w:tcBorders>
              <w:top w:val="single" w:sz="4" w:space="0" w:color="auto"/>
              <w:left w:val="single" w:sz="4" w:space="0" w:color="auto"/>
              <w:bottom w:val="single" w:sz="4" w:space="0" w:color="auto"/>
              <w:right w:val="single" w:sz="4" w:space="0" w:color="auto"/>
            </w:tcBorders>
            <w:hideMark/>
          </w:tcPr>
          <w:p w14:paraId="54C07527"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2970" w:type="dxa"/>
            <w:tcBorders>
              <w:top w:val="single" w:sz="4" w:space="0" w:color="auto"/>
              <w:left w:val="single" w:sz="4" w:space="0" w:color="auto"/>
              <w:bottom w:val="single" w:sz="4" w:space="0" w:color="auto"/>
              <w:right w:val="single" w:sz="4" w:space="0" w:color="auto"/>
            </w:tcBorders>
          </w:tcPr>
          <w:p w14:paraId="765B30C2" w14:textId="6A5DA87A" w:rsidR="00EF1D0C" w:rsidRDefault="00716F28" w:rsidP="00EF1D0C">
            <w:pPr>
              <w:pStyle w:val="Heading1"/>
              <w:tabs>
                <w:tab w:val="left" w:pos="6675"/>
              </w:tabs>
              <w:rPr>
                <w:rFonts w:asciiTheme="minorHAnsi" w:hAnsiTheme="minorHAnsi" w:cstheme="majorHAnsi"/>
                <w:color w:val="auto"/>
                <w:sz w:val="24"/>
              </w:rPr>
            </w:pPr>
            <w:r w:rsidRPr="00716F28">
              <w:rPr>
                <w:rFonts w:asciiTheme="minorHAnsi" w:hAnsiTheme="minorHAnsi" w:cstheme="majorHAnsi"/>
                <w:b/>
                <w:color w:val="auto"/>
                <w:sz w:val="24"/>
              </w:rPr>
              <w:t xml:space="preserve">Concurred </w:t>
            </w:r>
            <w:r w:rsidR="00A1204E">
              <w:rPr>
                <w:rFonts w:asciiTheme="minorHAnsi" w:hAnsiTheme="minorHAnsi" w:cstheme="majorHAnsi"/>
                <w:b/>
                <w:color w:val="auto"/>
                <w:sz w:val="24"/>
              </w:rPr>
              <w:t xml:space="preserve">on </w:t>
            </w:r>
            <w:r w:rsidRPr="00716F28">
              <w:rPr>
                <w:rFonts w:asciiTheme="minorHAnsi" w:hAnsiTheme="minorHAnsi" w:cstheme="majorHAnsi"/>
                <w:b/>
                <w:color w:val="auto"/>
                <w:sz w:val="24"/>
              </w:rPr>
              <w:t>10/25/18.</w:t>
            </w:r>
          </w:p>
        </w:tc>
        <w:tc>
          <w:tcPr>
            <w:tcW w:w="8373" w:type="dxa"/>
            <w:tcBorders>
              <w:top w:val="single" w:sz="4" w:space="0" w:color="auto"/>
              <w:left w:val="single" w:sz="4" w:space="0" w:color="auto"/>
              <w:bottom w:val="single" w:sz="4" w:space="0" w:color="auto"/>
              <w:right w:val="single" w:sz="4" w:space="0" w:color="auto"/>
            </w:tcBorders>
          </w:tcPr>
          <w:p w14:paraId="236A6948" w14:textId="77777777" w:rsidR="00EF1D0C" w:rsidRDefault="00EF1D0C" w:rsidP="00EF1D0C">
            <w:pPr>
              <w:pStyle w:val="Heading1"/>
              <w:tabs>
                <w:tab w:val="left" w:pos="6675"/>
              </w:tabs>
              <w:rPr>
                <w:rFonts w:asciiTheme="minorHAnsi" w:hAnsiTheme="minorHAnsi" w:cstheme="majorHAnsi"/>
                <w:color w:val="auto"/>
                <w:sz w:val="24"/>
              </w:rPr>
            </w:pPr>
          </w:p>
        </w:tc>
      </w:tr>
      <w:tr w:rsidR="00EF1D0C" w14:paraId="7FC81ECE" w14:textId="77777777" w:rsidTr="00A1204E">
        <w:trPr>
          <w:trHeight w:val="470"/>
        </w:trPr>
        <w:tc>
          <w:tcPr>
            <w:tcW w:w="2065" w:type="dxa"/>
            <w:tcBorders>
              <w:top w:val="single" w:sz="4" w:space="0" w:color="auto"/>
              <w:left w:val="single" w:sz="4" w:space="0" w:color="auto"/>
              <w:bottom w:val="single" w:sz="4" w:space="0" w:color="auto"/>
              <w:right w:val="single" w:sz="4" w:space="0" w:color="auto"/>
            </w:tcBorders>
            <w:hideMark/>
          </w:tcPr>
          <w:p w14:paraId="2583648F"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2970" w:type="dxa"/>
            <w:tcBorders>
              <w:top w:val="single" w:sz="4" w:space="0" w:color="auto"/>
              <w:left w:val="single" w:sz="4" w:space="0" w:color="auto"/>
              <w:bottom w:val="single" w:sz="4" w:space="0" w:color="auto"/>
              <w:right w:val="single" w:sz="4" w:space="0" w:color="auto"/>
            </w:tcBorders>
          </w:tcPr>
          <w:p w14:paraId="3CB58443" w14:textId="70F71705" w:rsidR="00EF1D0C" w:rsidRPr="00164FD1" w:rsidRDefault="00716F28" w:rsidP="00EF1D0C">
            <w:pPr>
              <w:rPr>
                <w:rFonts w:asciiTheme="minorHAnsi" w:hAnsiTheme="minorHAnsi" w:cstheme="majorHAnsi"/>
                <w:bCs/>
                <w:kern w:val="32"/>
                <w:sz w:val="24"/>
                <w:szCs w:val="28"/>
              </w:rPr>
            </w:pPr>
            <w:r w:rsidRPr="00716F28">
              <w:rPr>
                <w:rFonts w:asciiTheme="minorHAnsi" w:hAnsiTheme="minorHAnsi" w:cstheme="majorHAnsi"/>
                <w:b/>
                <w:sz w:val="24"/>
              </w:rPr>
              <w:t xml:space="preserve">Concurred </w:t>
            </w:r>
            <w:r w:rsidR="00A1204E">
              <w:rPr>
                <w:rFonts w:asciiTheme="minorHAnsi" w:hAnsiTheme="minorHAnsi" w:cstheme="majorHAnsi"/>
                <w:b/>
                <w:sz w:val="24"/>
              </w:rPr>
              <w:t xml:space="preserve">on </w:t>
            </w:r>
            <w:r w:rsidRPr="00716F28">
              <w:rPr>
                <w:rFonts w:asciiTheme="minorHAnsi" w:hAnsiTheme="minorHAnsi" w:cstheme="majorHAnsi"/>
                <w:b/>
                <w:sz w:val="24"/>
              </w:rPr>
              <w:t>10/25/18.</w:t>
            </w:r>
          </w:p>
        </w:tc>
        <w:tc>
          <w:tcPr>
            <w:tcW w:w="8373" w:type="dxa"/>
            <w:tcBorders>
              <w:top w:val="single" w:sz="4" w:space="0" w:color="auto"/>
              <w:left w:val="single" w:sz="4" w:space="0" w:color="auto"/>
              <w:bottom w:val="single" w:sz="4" w:space="0" w:color="auto"/>
              <w:right w:val="single" w:sz="4" w:space="0" w:color="auto"/>
            </w:tcBorders>
          </w:tcPr>
          <w:p w14:paraId="1A9FCEAA" w14:textId="77777777" w:rsidR="00EF1D0C" w:rsidRPr="00164FD1" w:rsidRDefault="00EF1D0C" w:rsidP="00EF1D0C">
            <w:pPr>
              <w:rPr>
                <w:rFonts w:asciiTheme="minorHAnsi" w:hAnsiTheme="minorHAnsi" w:cstheme="majorHAnsi"/>
                <w:bCs/>
                <w:kern w:val="32"/>
                <w:sz w:val="24"/>
                <w:szCs w:val="28"/>
              </w:rPr>
            </w:pPr>
          </w:p>
        </w:tc>
      </w:tr>
      <w:tr w:rsidR="00EF1D0C" w14:paraId="144D9146" w14:textId="77777777" w:rsidTr="00A1204E">
        <w:tc>
          <w:tcPr>
            <w:tcW w:w="2065" w:type="dxa"/>
            <w:tcBorders>
              <w:top w:val="single" w:sz="4" w:space="0" w:color="auto"/>
              <w:left w:val="single" w:sz="4" w:space="0" w:color="auto"/>
              <w:bottom w:val="single" w:sz="4" w:space="0" w:color="auto"/>
              <w:right w:val="single" w:sz="4" w:space="0" w:color="auto"/>
            </w:tcBorders>
            <w:hideMark/>
          </w:tcPr>
          <w:p w14:paraId="3B52B6E1" w14:textId="77777777" w:rsidR="00EF1D0C" w:rsidRDefault="00EF1D0C" w:rsidP="00EF1D0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2970" w:type="dxa"/>
            <w:tcBorders>
              <w:top w:val="single" w:sz="4" w:space="0" w:color="auto"/>
              <w:left w:val="single" w:sz="4" w:space="0" w:color="auto"/>
              <w:bottom w:val="single" w:sz="4" w:space="0" w:color="auto"/>
              <w:right w:val="single" w:sz="4" w:space="0" w:color="auto"/>
            </w:tcBorders>
          </w:tcPr>
          <w:p w14:paraId="6F3E9AE5" w14:textId="73823AA8" w:rsidR="00EF1D0C" w:rsidRDefault="00716F28" w:rsidP="00EF1D0C">
            <w:pPr>
              <w:pStyle w:val="Heading1"/>
              <w:tabs>
                <w:tab w:val="left" w:pos="6675"/>
              </w:tabs>
              <w:rPr>
                <w:rFonts w:asciiTheme="minorHAnsi" w:hAnsiTheme="minorHAnsi" w:cstheme="majorHAnsi"/>
                <w:color w:val="auto"/>
                <w:sz w:val="24"/>
              </w:rPr>
            </w:pPr>
            <w:r w:rsidRPr="00716F28">
              <w:rPr>
                <w:rFonts w:asciiTheme="minorHAnsi" w:hAnsiTheme="minorHAnsi" w:cstheme="majorHAnsi"/>
                <w:b/>
                <w:color w:val="auto"/>
                <w:sz w:val="24"/>
              </w:rPr>
              <w:t xml:space="preserve">Concurred </w:t>
            </w:r>
            <w:r w:rsidR="00A1204E">
              <w:rPr>
                <w:rFonts w:asciiTheme="minorHAnsi" w:hAnsiTheme="minorHAnsi" w:cstheme="majorHAnsi"/>
                <w:b/>
                <w:color w:val="auto"/>
                <w:sz w:val="24"/>
              </w:rPr>
              <w:t xml:space="preserve">on </w:t>
            </w:r>
            <w:r w:rsidRPr="00716F28">
              <w:rPr>
                <w:rFonts w:asciiTheme="minorHAnsi" w:hAnsiTheme="minorHAnsi" w:cstheme="majorHAnsi"/>
                <w:b/>
                <w:color w:val="auto"/>
                <w:sz w:val="24"/>
              </w:rPr>
              <w:t>10/25/18.</w:t>
            </w:r>
          </w:p>
        </w:tc>
        <w:tc>
          <w:tcPr>
            <w:tcW w:w="8373" w:type="dxa"/>
            <w:tcBorders>
              <w:top w:val="single" w:sz="4" w:space="0" w:color="auto"/>
              <w:left w:val="single" w:sz="4" w:space="0" w:color="auto"/>
              <w:bottom w:val="single" w:sz="4" w:space="0" w:color="auto"/>
              <w:right w:val="single" w:sz="4" w:space="0" w:color="auto"/>
            </w:tcBorders>
          </w:tcPr>
          <w:p w14:paraId="4FC93621" w14:textId="77777777" w:rsidR="00EF1D0C" w:rsidRDefault="00EF1D0C" w:rsidP="00EF1D0C">
            <w:pPr>
              <w:pStyle w:val="Heading1"/>
              <w:tabs>
                <w:tab w:val="left" w:pos="6675"/>
              </w:tabs>
              <w:rPr>
                <w:bCs w:val="0"/>
              </w:rPr>
            </w:pPr>
          </w:p>
          <w:p w14:paraId="752E8267" w14:textId="77777777" w:rsidR="00EF1D0C" w:rsidRDefault="00EF1D0C" w:rsidP="00EF1D0C">
            <w:pPr>
              <w:pStyle w:val="Heading1"/>
              <w:tabs>
                <w:tab w:val="left" w:pos="6675"/>
              </w:tabs>
              <w:rPr>
                <w:rFonts w:asciiTheme="minorHAnsi" w:hAnsiTheme="minorHAnsi" w:cstheme="majorHAnsi"/>
                <w:color w:val="auto"/>
                <w:sz w:val="24"/>
              </w:rPr>
            </w:pPr>
          </w:p>
        </w:tc>
      </w:tr>
    </w:tbl>
    <w:p w14:paraId="1514B7F6" w14:textId="77777777" w:rsidR="0097547B" w:rsidRDefault="0097547B" w:rsidP="00EF5EB6">
      <w:pPr>
        <w:pStyle w:val="Heading1"/>
        <w:tabs>
          <w:tab w:val="left" w:pos="6675"/>
        </w:tabs>
        <w:ind w:left="-2160" w:firstLine="180"/>
        <w:rPr>
          <w:sz w:val="24"/>
        </w:rPr>
      </w:pPr>
    </w:p>
    <w:p w14:paraId="47038DF8" w14:textId="77777777" w:rsidR="0097547B" w:rsidRDefault="0097547B" w:rsidP="00EF5EB6">
      <w:pPr>
        <w:pStyle w:val="Heading1"/>
        <w:tabs>
          <w:tab w:val="left" w:pos="6675"/>
        </w:tabs>
        <w:ind w:left="-2160" w:firstLine="180"/>
        <w:rPr>
          <w:sz w:val="24"/>
        </w:rPr>
      </w:pPr>
    </w:p>
    <w:p w14:paraId="3EEBE90E" w14:textId="77777777" w:rsidR="0097547B" w:rsidRDefault="0097547B" w:rsidP="00EF5EB6">
      <w:pPr>
        <w:pStyle w:val="Heading1"/>
        <w:tabs>
          <w:tab w:val="left" w:pos="6675"/>
        </w:tabs>
        <w:ind w:left="-2160" w:firstLine="180"/>
        <w:rPr>
          <w:sz w:val="24"/>
        </w:rPr>
      </w:pPr>
    </w:p>
    <w:p w14:paraId="5245A75D" w14:textId="77777777" w:rsidR="002A2C65" w:rsidRPr="002A2C65" w:rsidRDefault="002A2C65" w:rsidP="002A2C65">
      <w:pPr>
        <w:pStyle w:val="BodyText"/>
      </w:pPr>
    </w:p>
    <w:p w14:paraId="4BA38FB9" w14:textId="77777777" w:rsidR="00EF1D0C" w:rsidRDefault="00EF1D0C" w:rsidP="00EF5EB6">
      <w:pPr>
        <w:pStyle w:val="Heading1"/>
        <w:tabs>
          <w:tab w:val="left" w:pos="6675"/>
        </w:tabs>
        <w:ind w:left="-2160" w:firstLine="180"/>
        <w:rPr>
          <w:sz w:val="24"/>
        </w:rPr>
      </w:pPr>
    </w:p>
    <w:p w14:paraId="5F5D8563" w14:textId="77777777" w:rsidR="00EF1D0C" w:rsidRDefault="00EF1D0C" w:rsidP="00EF5EB6">
      <w:pPr>
        <w:pStyle w:val="Heading1"/>
        <w:tabs>
          <w:tab w:val="left" w:pos="6675"/>
        </w:tabs>
        <w:ind w:left="-2160" w:firstLine="180"/>
        <w:rPr>
          <w:sz w:val="24"/>
        </w:rPr>
      </w:pPr>
    </w:p>
    <w:p w14:paraId="727EFC60" w14:textId="77777777" w:rsidR="00A86B50" w:rsidRDefault="00A86B50" w:rsidP="00EF5EB6">
      <w:pPr>
        <w:pStyle w:val="Heading1"/>
        <w:tabs>
          <w:tab w:val="left" w:pos="6675"/>
        </w:tabs>
        <w:ind w:left="-2160" w:firstLine="180"/>
        <w:rPr>
          <w:sz w:val="24"/>
        </w:rPr>
      </w:pPr>
    </w:p>
    <w:p w14:paraId="1410067B" w14:textId="77777777" w:rsidR="00296E74" w:rsidRDefault="00296E74" w:rsidP="00EF5EB6">
      <w:pPr>
        <w:pStyle w:val="Heading1"/>
        <w:tabs>
          <w:tab w:val="left" w:pos="6675"/>
        </w:tabs>
        <w:ind w:left="-2160" w:firstLine="180"/>
        <w:rPr>
          <w:sz w:val="24"/>
        </w:rPr>
      </w:pPr>
    </w:p>
    <w:p w14:paraId="6C9F9EA2" w14:textId="168CA329" w:rsidR="00EF5EB6" w:rsidRDefault="00296E74" w:rsidP="00EF5EB6">
      <w:pPr>
        <w:pStyle w:val="Heading1"/>
        <w:tabs>
          <w:tab w:val="left" w:pos="6675"/>
        </w:tabs>
        <w:ind w:left="-2160" w:firstLine="180"/>
        <w:rPr>
          <w:sz w:val="24"/>
        </w:rPr>
      </w:pPr>
      <w:r>
        <w:rPr>
          <w:sz w:val="24"/>
        </w:rPr>
        <w:t>USD(P&amp;R</w:t>
      </w:r>
      <w:r w:rsidR="00EF5EB6">
        <w:rPr>
          <w:sz w:val="24"/>
        </w:rPr>
        <w:t>)</w:t>
      </w:r>
      <w:r>
        <w:rPr>
          <w:sz w:val="24"/>
        </w:rPr>
        <w:t>/MC&amp;FP Disposition</w:t>
      </w:r>
    </w:p>
    <w:p w14:paraId="6C9F9EA3" w14:textId="77777777" w:rsidR="00EF5EB6" w:rsidRDefault="00EF5EB6" w:rsidP="00EF5EB6">
      <w:pPr>
        <w:tabs>
          <w:tab w:val="left" w:pos="720"/>
          <w:tab w:val="left" w:pos="2160"/>
        </w:tabs>
        <w:ind w:left="-810"/>
        <w:rPr>
          <w:sz w:val="24"/>
        </w:rPr>
      </w:pPr>
    </w:p>
    <w:p w14:paraId="6BBF9FF6" w14:textId="6BCC7E87" w:rsidR="00A1204E" w:rsidRPr="00C93656" w:rsidRDefault="00A1204E" w:rsidP="00A1204E">
      <w:pPr>
        <w:pStyle w:val="ChapterTitle"/>
        <w:ind w:left="-630"/>
        <w:rPr>
          <w:rFonts w:asciiTheme="minorHAnsi" w:hAnsiTheme="minorHAnsi"/>
          <w:sz w:val="24"/>
        </w:rPr>
      </w:pPr>
      <w:r>
        <w:rPr>
          <w:rFonts w:asciiTheme="minorHAnsi" w:hAnsiTheme="minorHAnsi"/>
          <w:sz w:val="24"/>
        </w:rPr>
        <w:t>Clarify language in 1015.15 and DoDI 7600.06.</w:t>
      </w:r>
    </w:p>
    <w:p w14:paraId="6C9F9EA5" w14:textId="77777777" w:rsidR="00EF5EB6" w:rsidRDefault="00EF5EB6" w:rsidP="00EF5EB6">
      <w:pPr>
        <w:pStyle w:val="Heading1"/>
        <w:tabs>
          <w:tab w:val="left" w:pos="6675"/>
        </w:tabs>
        <w:ind w:left="-2160" w:firstLine="180"/>
        <w:rPr>
          <w:sz w:val="24"/>
        </w:rPr>
      </w:pPr>
    </w:p>
    <w:p w14:paraId="0A5B0834" w14:textId="434630ED" w:rsidR="007114E2" w:rsidRDefault="00296E74" w:rsidP="007114E2">
      <w:pPr>
        <w:pStyle w:val="Heading1"/>
        <w:tabs>
          <w:tab w:val="left" w:pos="6675"/>
        </w:tabs>
        <w:ind w:left="-2160" w:firstLine="180"/>
        <w:rPr>
          <w:rFonts w:ascii="Garamond" w:hAnsi="Garamond"/>
          <w:bCs w:val="0"/>
          <w:color w:val="auto"/>
          <w:kern w:val="0"/>
          <w:sz w:val="24"/>
          <w:szCs w:val="20"/>
        </w:rPr>
      </w:pPr>
      <w:r>
        <w:rPr>
          <w:sz w:val="24"/>
        </w:rPr>
        <w:t>DFAS Disposition</w:t>
      </w:r>
      <w:r w:rsidR="00EF5EB6" w:rsidRPr="00F47C97">
        <w:rPr>
          <w:rFonts w:ascii="Garamond" w:hAnsi="Garamond"/>
          <w:bCs w:val="0"/>
          <w:color w:val="auto"/>
          <w:kern w:val="0"/>
          <w:sz w:val="24"/>
          <w:szCs w:val="20"/>
        </w:rPr>
        <w:t xml:space="preserve"> </w:t>
      </w:r>
      <w:r w:rsidR="00EF5EB6">
        <w:rPr>
          <w:rFonts w:ascii="Garamond" w:hAnsi="Garamond"/>
          <w:bCs w:val="0"/>
          <w:color w:val="auto"/>
          <w:kern w:val="0"/>
          <w:sz w:val="24"/>
          <w:szCs w:val="20"/>
        </w:rPr>
        <w:t xml:space="preserve"> </w:t>
      </w:r>
      <w:r w:rsidR="007114E2">
        <w:rPr>
          <w:rFonts w:ascii="Garamond" w:hAnsi="Garamond"/>
          <w:bCs w:val="0"/>
          <w:color w:val="auto"/>
          <w:kern w:val="0"/>
          <w:sz w:val="24"/>
          <w:szCs w:val="20"/>
        </w:rPr>
        <w:t xml:space="preserve">     </w:t>
      </w:r>
    </w:p>
    <w:p w14:paraId="3097C8DA" w14:textId="77777777" w:rsidR="00296E74" w:rsidRDefault="00296E74" w:rsidP="00296E74">
      <w:pPr>
        <w:tabs>
          <w:tab w:val="left" w:pos="720"/>
          <w:tab w:val="left" w:pos="2160"/>
        </w:tabs>
        <w:ind w:left="-810"/>
        <w:rPr>
          <w:sz w:val="24"/>
        </w:rPr>
      </w:pPr>
    </w:p>
    <w:p w14:paraId="6A271218" w14:textId="1F054422" w:rsidR="00A1204E" w:rsidRPr="00C93656" w:rsidRDefault="00A1204E" w:rsidP="00A1204E">
      <w:pPr>
        <w:pStyle w:val="ChapterTitle"/>
        <w:ind w:left="-720"/>
        <w:rPr>
          <w:rFonts w:asciiTheme="minorHAnsi" w:hAnsiTheme="minorHAnsi"/>
          <w:sz w:val="24"/>
        </w:rPr>
      </w:pPr>
      <w:r w:rsidRPr="00C93656">
        <w:rPr>
          <w:rFonts w:asciiTheme="minorHAnsi" w:hAnsiTheme="minorHAnsi"/>
          <w:sz w:val="24"/>
        </w:rPr>
        <w:t xml:space="preserve">No </w:t>
      </w:r>
      <w:r>
        <w:rPr>
          <w:rFonts w:asciiTheme="minorHAnsi" w:hAnsiTheme="minorHAnsi"/>
          <w:sz w:val="24"/>
        </w:rPr>
        <w:t>further action.</w:t>
      </w:r>
    </w:p>
    <w:p w14:paraId="6955C4D4" w14:textId="77777777" w:rsidR="00296E74" w:rsidRDefault="00296E74" w:rsidP="007114E2">
      <w:pPr>
        <w:pStyle w:val="Heading1"/>
        <w:tabs>
          <w:tab w:val="left" w:pos="6675"/>
        </w:tabs>
        <w:ind w:left="-2160" w:firstLine="180"/>
        <w:rPr>
          <w:sz w:val="24"/>
        </w:rPr>
      </w:pPr>
    </w:p>
    <w:p w14:paraId="4B4C8A65" w14:textId="4669F12A" w:rsidR="007114E2" w:rsidRPr="007114E2" w:rsidRDefault="007114E2" w:rsidP="007114E2">
      <w:pPr>
        <w:pStyle w:val="Heading1"/>
        <w:tabs>
          <w:tab w:val="left" w:pos="6675"/>
        </w:tabs>
        <w:ind w:left="-2160" w:firstLine="180"/>
        <w:rPr>
          <w:rFonts w:ascii="Garamond" w:hAnsi="Garamond"/>
          <w:bCs w:val="0"/>
          <w:color w:val="auto"/>
          <w:kern w:val="0"/>
          <w:sz w:val="24"/>
          <w:szCs w:val="20"/>
        </w:rPr>
      </w:pPr>
      <w:r w:rsidRPr="007B3038">
        <w:rPr>
          <w:sz w:val="24"/>
        </w:rPr>
        <w:t xml:space="preserve">Forward to </w:t>
      </w:r>
      <w:r w:rsidR="00296E74">
        <w:rPr>
          <w:sz w:val="24"/>
        </w:rPr>
        <w:t>DoD</w:t>
      </w:r>
      <w:r w:rsidRPr="007B3038">
        <w:rPr>
          <w:sz w:val="24"/>
        </w:rPr>
        <w:t xml:space="preserve">IG?    </w:t>
      </w:r>
    </w:p>
    <w:p w14:paraId="4A7ED3C2" w14:textId="77777777" w:rsidR="00A1204E" w:rsidRPr="00C93656" w:rsidRDefault="00A1204E" w:rsidP="00A1204E">
      <w:pPr>
        <w:pStyle w:val="ChapterTitle"/>
        <w:ind w:left="-810"/>
        <w:rPr>
          <w:rFonts w:asciiTheme="minorHAnsi" w:hAnsiTheme="minorHAnsi"/>
          <w:sz w:val="24"/>
        </w:rPr>
      </w:pPr>
      <w:r w:rsidRPr="00C93656">
        <w:rPr>
          <w:rFonts w:asciiTheme="minorHAnsi" w:hAnsiTheme="minorHAnsi"/>
          <w:sz w:val="24"/>
        </w:rPr>
        <w:t>No DoDIG equities</w:t>
      </w:r>
      <w:r>
        <w:rPr>
          <w:rFonts w:asciiTheme="minorHAnsi" w:hAnsiTheme="minorHAnsi"/>
          <w:sz w:val="24"/>
        </w:rPr>
        <w:t>.</w:t>
      </w:r>
    </w:p>
    <w:p w14:paraId="737F196C" w14:textId="77777777" w:rsidR="00296E74" w:rsidRDefault="00296E74" w:rsidP="00A1204E">
      <w:pPr>
        <w:tabs>
          <w:tab w:val="left" w:pos="720"/>
          <w:tab w:val="left" w:pos="2160"/>
        </w:tabs>
        <w:ind w:left="-720"/>
        <w:rPr>
          <w:sz w:val="24"/>
        </w:rPr>
      </w:pPr>
    </w:p>
    <w:p w14:paraId="6C9F9EAC" w14:textId="77777777" w:rsidR="00FE3532" w:rsidRPr="00F47C97" w:rsidRDefault="00FE3532" w:rsidP="007114E2">
      <w:pPr>
        <w:tabs>
          <w:tab w:val="left" w:pos="720"/>
          <w:tab w:val="left" w:pos="2160"/>
        </w:tabs>
        <w:ind w:left="-810"/>
        <w:rPr>
          <w:sz w:val="24"/>
        </w:rPr>
      </w:pPr>
    </w:p>
    <w:sectPr w:rsidR="00FE3532" w:rsidRPr="00F47C97"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3F6CA5" w14:textId="77777777" w:rsidR="004846BE" w:rsidRDefault="004846BE">
      <w:r>
        <w:separator/>
      </w:r>
    </w:p>
  </w:endnote>
  <w:endnote w:type="continuationSeparator" w:id="0">
    <w:p w14:paraId="166F4C43" w14:textId="77777777" w:rsidR="004846BE" w:rsidRDefault="00484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0E6E088C" w14:textId="4D3CC94A" w:rsidR="00031E25" w:rsidRDefault="00031E25" w:rsidP="00031E25">
        <w:pPr>
          <w:pStyle w:val="Footer"/>
          <w:jc w:val="right"/>
          <w:rPr>
            <w:noProof/>
          </w:rPr>
        </w:pPr>
        <w:r>
          <w:fldChar w:fldCharType="begin"/>
        </w:r>
        <w:r>
          <w:instrText xml:space="preserve"> PAGE   \* MERGEFORMAT </w:instrText>
        </w:r>
        <w:r>
          <w:fldChar w:fldCharType="separate"/>
        </w:r>
        <w:r w:rsidR="00025144">
          <w:rPr>
            <w:noProof/>
          </w:rPr>
          <w:t>5</w:t>
        </w:r>
        <w:r>
          <w:rPr>
            <w:noProof/>
          </w:rPr>
          <w:fldChar w:fldCharType="end"/>
        </w:r>
      </w:p>
      <w:p w14:paraId="5D458449" w14:textId="02C1580A" w:rsidR="00B827F9" w:rsidRDefault="00840FA5" w:rsidP="00B827F9">
        <w:pPr>
          <w:pStyle w:val="Footer"/>
          <w:jc w:val="right"/>
        </w:pPr>
        <w:r>
          <w:rPr>
            <w:noProof/>
          </w:rPr>
          <w:t>September 19</w:t>
        </w:r>
        <w:r w:rsidR="00B827F9">
          <w:rPr>
            <w:noProof/>
          </w:rPr>
          <w:t>, 2018</w:t>
        </w:r>
      </w:p>
      <w:p w14:paraId="7D5F5F75" w14:textId="77777777" w:rsidR="00031E25" w:rsidRDefault="00031E25" w:rsidP="00031E25">
        <w:pPr>
          <w:pStyle w:val="Footer"/>
        </w:pPr>
      </w:p>
      <w:p w14:paraId="6C9F9EB5" w14:textId="4858ECC3" w:rsidR="00834B9A" w:rsidRDefault="00025144">
        <w:pPr>
          <w:pStyle w:val="Footer"/>
          <w:jc w:val="center"/>
        </w:pPr>
      </w:p>
    </w:sdtContent>
  </w:sdt>
  <w:p w14:paraId="6C9F9EB6"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DF4C2" w14:textId="77777777" w:rsidR="004846BE" w:rsidRDefault="004846BE">
      <w:r>
        <w:separator/>
      </w:r>
    </w:p>
  </w:footnote>
  <w:footnote w:type="continuationSeparator" w:id="0">
    <w:p w14:paraId="5D7874BF" w14:textId="77777777" w:rsidR="004846BE" w:rsidRDefault="00484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CBF32" w14:textId="1AC8FEE7" w:rsidR="00117300" w:rsidRDefault="00117300" w:rsidP="00B827F9">
    <w:pPr>
      <w:pStyle w:val="Header"/>
      <w:ind w:right="1440"/>
      <w:jc w:val="center"/>
      <w:rPr>
        <w:rFonts w:asciiTheme="minorHAnsi" w:hAnsiTheme="minorHAnsi"/>
        <w:sz w:val="32"/>
      </w:rPr>
    </w:pPr>
    <w:r>
      <w:rPr>
        <w:rFonts w:asciiTheme="minorHAnsi" w:hAnsiTheme="minorHAnsi"/>
        <w:sz w:val="32"/>
      </w:rPr>
      <w:t>NAF Accounting Working Group</w:t>
    </w:r>
  </w:p>
  <w:p w14:paraId="6C9F9EB2" w14:textId="6D0C4C57" w:rsidR="00834B9A" w:rsidRDefault="00117300" w:rsidP="00B827F9">
    <w:pPr>
      <w:pStyle w:val="Header"/>
      <w:ind w:right="1440"/>
      <w:jc w:val="center"/>
      <w:rPr>
        <w:rFonts w:asciiTheme="minorHAnsi" w:hAnsiTheme="minorHAnsi"/>
        <w:sz w:val="32"/>
      </w:rPr>
    </w:pPr>
    <w:r>
      <w:rPr>
        <w:rFonts w:asciiTheme="minorHAnsi" w:hAnsiTheme="minorHAnsi"/>
        <w:sz w:val="32"/>
      </w:rPr>
      <w:t>Treatment of Assets P</w:t>
    </w:r>
    <w:r w:rsidR="00C62909">
      <w:rPr>
        <w:rFonts w:asciiTheme="minorHAnsi" w:hAnsiTheme="minorHAnsi"/>
        <w:sz w:val="32"/>
      </w:rPr>
      <w:t>urchased with MOA/UFM Funds</w:t>
    </w:r>
  </w:p>
  <w:p w14:paraId="6C9F9EB3" w14:textId="2ADF80EC" w:rsidR="00834B9A" w:rsidRPr="00437683" w:rsidRDefault="00A733F0" w:rsidP="00B827F9">
    <w:pPr>
      <w:pStyle w:val="Header"/>
      <w:ind w:right="1440"/>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FC0E85">
      <w:rPr>
        <w:rFonts w:asciiTheme="minorHAnsi" w:hAnsiTheme="minorHAnsi"/>
        <w:sz w:val="32"/>
      </w:rPr>
      <w:t>Paper</w:t>
    </w:r>
    <w:r w:rsidR="00834B9A">
      <w:rPr>
        <w:rFonts w:asciiTheme="minorHAnsi" w:hAnsiTheme="minorHAnsi"/>
        <w:sz w:val="32"/>
      </w:rPr>
      <w:t xml:space="preserve"> </w:t>
    </w:r>
    <w:r w:rsidR="00117300">
      <w:rPr>
        <w:rFonts w:asciiTheme="minorHAnsi" w:hAnsiTheme="minorHAnsi"/>
        <w:sz w:val="32"/>
      </w:rPr>
      <w:t>#31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DF6DDB"/>
    <w:multiLevelType w:val="hybridMultilevel"/>
    <w:tmpl w:val="9012B03C"/>
    <w:lvl w:ilvl="0" w:tplc="0409000F">
      <w:start w:val="1"/>
      <w:numFmt w:val="decimal"/>
      <w:lvlText w:val="%1."/>
      <w:lvlJc w:val="left"/>
      <w:pPr>
        <w:ind w:left="-90" w:hanging="360"/>
      </w:pPr>
    </w:lvl>
    <w:lvl w:ilvl="1" w:tplc="04090019">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7"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79A50A43"/>
    <w:multiLevelType w:val="hybridMultilevel"/>
    <w:tmpl w:val="DB328EB6"/>
    <w:lvl w:ilvl="0" w:tplc="E24636FC">
      <w:start w:val="1"/>
      <w:numFmt w:val="decimal"/>
      <w:lvlText w:val="%1)"/>
      <w:lvlJc w:val="left"/>
      <w:pPr>
        <w:ind w:left="-288" w:hanging="360"/>
      </w:pPr>
      <w:rPr>
        <w:rFonts w:hint="default"/>
      </w:rPr>
    </w:lvl>
    <w:lvl w:ilvl="1" w:tplc="04090019">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26"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4"/>
  </w:num>
  <w:num w:numId="3">
    <w:abstractNumId w:val="7"/>
  </w:num>
  <w:num w:numId="4">
    <w:abstractNumId w:val="3"/>
  </w:num>
  <w:num w:numId="5">
    <w:abstractNumId w:val="2"/>
  </w:num>
  <w:num w:numId="6">
    <w:abstractNumId w:val="1"/>
  </w:num>
  <w:num w:numId="7">
    <w:abstractNumId w:val="0"/>
  </w:num>
  <w:num w:numId="8">
    <w:abstractNumId w:val="10"/>
  </w:num>
  <w:num w:numId="9">
    <w:abstractNumId w:val="17"/>
  </w:num>
  <w:num w:numId="10">
    <w:abstractNumId w:val="15"/>
  </w:num>
  <w:num w:numId="11">
    <w:abstractNumId w:val="13"/>
  </w:num>
  <w:num w:numId="12">
    <w:abstractNumId w:val="16"/>
  </w:num>
  <w:num w:numId="13">
    <w:abstractNumId w:val="9"/>
  </w:num>
  <w:num w:numId="14">
    <w:abstractNumId w:val="12"/>
  </w:num>
  <w:num w:numId="15">
    <w:abstractNumId w:val="19"/>
  </w:num>
  <w:num w:numId="16">
    <w:abstractNumId w:val="5"/>
  </w:num>
  <w:num w:numId="17">
    <w:abstractNumId w:val="14"/>
  </w:num>
  <w:num w:numId="18">
    <w:abstractNumId w:val="26"/>
  </w:num>
  <w:num w:numId="19">
    <w:abstractNumId w:val="22"/>
  </w:num>
  <w:num w:numId="20">
    <w:abstractNumId w:val="18"/>
  </w:num>
  <w:num w:numId="21">
    <w:abstractNumId w:val="8"/>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3"/>
  </w:num>
  <w:num w:numId="25">
    <w:abstractNumId w:val="11"/>
  </w:num>
  <w:num w:numId="26">
    <w:abstractNumId w:val="20"/>
  </w:num>
  <w:num w:numId="27">
    <w:abstractNumId w:val="25"/>
  </w:num>
  <w:num w:numId="28">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2CC7"/>
    <w:rsid w:val="00006441"/>
    <w:rsid w:val="00025144"/>
    <w:rsid w:val="00026805"/>
    <w:rsid w:val="00031E25"/>
    <w:rsid w:val="00064594"/>
    <w:rsid w:val="00074688"/>
    <w:rsid w:val="00074A55"/>
    <w:rsid w:val="00076E6B"/>
    <w:rsid w:val="0009688F"/>
    <w:rsid w:val="000B1CC8"/>
    <w:rsid w:val="000B3111"/>
    <w:rsid w:val="000C7B49"/>
    <w:rsid w:val="000C7BDF"/>
    <w:rsid w:val="000E029A"/>
    <w:rsid w:val="000E19AE"/>
    <w:rsid w:val="000E3CF3"/>
    <w:rsid w:val="000F0E02"/>
    <w:rsid w:val="000F4BDF"/>
    <w:rsid w:val="000F700D"/>
    <w:rsid w:val="00103783"/>
    <w:rsid w:val="00117300"/>
    <w:rsid w:val="00123E60"/>
    <w:rsid w:val="0012715F"/>
    <w:rsid w:val="00144F6D"/>
    <w:rsid w:val="00156EF7"/>
    <w:rsid w:val="00164FD1"/>
    <w:rsid w:val="001663AC"/>
    <w:rsid w:val="00185D35"/>
    <w:rsid w:val="001B551C"/>
    <w:rsid w:val="001C5E3C"/>
    <w:rsid w:val="001D40C4"/>
    <w:rsid w:val="001E45B8"/>
    <w:rsid w:val="001E60EE"/>
    <w:rsid w:val="001E6F57"/>
    <w:rsid w:val="001F20AE"/>
    <w:rsid w:val="001F6C50"/>
    <w:rsid w:val="00200A58"/>
    <w:rsid w:val="00202660"/>
    <w:rsid w:val="00203A74"/>
    <w:rsid w:val="00212674"/>
    <w:rsid w:val="00212811"/>
    <w:rsid w:val="00213142"/>
    <w:rsid w:val="00213D94"/>
    <w:rsid w:val="002208F1"/>
    <w:rsid w:val="0024026D"/>
    <w:rsid w:val="0024366D"/>
    <w:rsid w:val="00244470"/>
    <w:rsid w:val="002479EF"/>
    <w:rsid w:val="00250102"/>
    <w:rsid w:val="00250B79"/>
    <w:rsid w:val="002534ED"/>
    <w:rsid w:val="00254FC0"/>
    <w:rsid w:val="00257D56"/>
    <w:rsid w:val="00267EDE"/>
    <w:rsid w:val="00277DC7"/>
    <w:rsid w:val="00281D8A"/>
    <w:rsid w:val="00292718"/>
    <w:rsid w:val="00292CAD"/>
    <w:rsid w:val="00296E74"/>
    <w:rsid w:val="002A18D4"/>
    <w:rsid w:val="002A2C65"/>
    <w:rsid w:val="002A4D2F"/>
    <w:rsid w:val="002A5C61"/>
    <w:rsid w:val="002A7741"/>
    <w:rsid w:val="002C0344"/>
    <w:rsid w:val="002C131F"/>
    <w:rsid w:val="002D5965"/>
    <w:rsid w:val="002E6296"/>
    <w:rsid w:val="002F44B1"/>
    <w:rsid w:val="002F5877"/>
    <w:rsid w:val="002F6648"/>
    <w:rsid w:val="0030084D"/>
    <w:rsid w:val="00305C57"/>
    <w:rsid w:val="0030628A"/>
    <w:rsid w:val="0031192F"/>
    <w:rsid w:val="00314AC7"/>
    <w:rsid w:val="00321877"/>
    <w:rsid w:val="00342EB8"/>
    <w:rsid w:val="00372945"/>
    <w:rsid w:val="00375E78"/>
    <w:rsid w:val="00382220"/>
    <w:rsid w:val="003841A5"/>
    <w:rsid w:val="00391BB7"/>
    <w:rsid w:val="003B16BA"/>
    <w:rsid w:val="003B345C"/>
    <w:rsid w:val="003B4B09"/>
    <w:rsid w:val="003B793A"/>
    <w:rsid w:val="003C33D9"/>
    <w:rsid w:val="003E28A0"/>
    <w:rsid w:val="003E315E"/>
    <w:rsid w:val="003E4E29"/>
    <w:rsid w:val="003E7371"/>
    <w:rsid w:val="003F016B"/>
    <w:rsid w:val="003F2778"/>
    <w:rsid w:val="00410BEA"/>
    <w:rsid w:val="0041120B"/>
    <w:rsid w:val="00413C77"/>
    <w:rsid w:val="00433840"/>
    <w:rsid w:val="00435F4A"/>
    <w:rsid w:val="00437683"/>
    <w:rsid w:val="0044428A"/>
    <w:rsid w:val="00456900"/>
    <w:rsid w:val="00471AE8"/>
    <w:rsid w:val="00477BC1"/>
    <w:rsid w:val="004846BE"/>
    <w:rsid w:val="004A1DA3"/>
    <w:rsid w:val="004A6744"/>
    <w:rsid w:val="004B04B3"/>
    <w:rsid w:val="004B6D32"/>
    <w:rsid w:val="004C13D3"/>
    <w:rsid w:val="004C5DF1"/>
    <w:rsid w:val="004C60DD"/>
    <w:rsid w:val="004C748C"/>
    <w:rsid w:val="004D33FA"/>
    <w:rsid w:val="004D69DB"/>
    <w:rsid w:val="004E456D"/>
    <w:rsid w:val="004E4E55"/>
    <w:rsid w:val="004E4EDA"/>
    <w:rsid w:val="004F77B7"/>
    <w:rsid w:val="005000DB"/>
    <w:rsid w:val="005056DF"/>
    <w:rsid w:val="00520EF0"/>
    <w:rsid w:val="005335BD"/>
    <w:rsid w:val="005445C4"/>
    <w:rsid w:val="005539B7"/>
    <w:rsid w:val="00556680"/>
    <w:rsid w:val="0056384A"/>
    <w:rsid w:val="00564BC4"/>
    <w:rsid w:val="00576440"/>
    <w:rsid w:val="005832BC"/>
    <w:rsid w:val="00592BDD"/>
    <w:rsid w:val="005A23BB"/>
    <w:rsid w:val="005A5E9D"/>
    <w:rsid w:val="005B36B4"/>
    <w:rsid w:val="005B382E"/>
    <w:rsid w:val="005C6106"/>
    <w:rsid w:val="005D4A27"/>
    <w:rsid w:val="005D6926"/>
    <w:rsid w:val="005D7123"/>
    <w:rsid w:val="005F0246"/>
    <w:rsid w:val="005F0CB0"/>
    <w:rsid w:val="005F3D5B"/>
    <w:rsid w:val="005F3D8E"/>
    <w:rsid w:val="005F4E22"/>
    <w:rsid w:val="00614C6D"/>
    <w:rsid w:val="00614F7A"/>
    <w:rsid w:val="00615C38"/>
    <w:rsid w:val="00617250"/>
    <w:rsid w:val="006227D6"/>
    <w:rsid w:val="0062477D"/>
    <w:rsid w:val="00634D8E"/>
    <w:rsid w:val="0063589E"/>
    <w:rsid w:val="00655FDE"/>
    <w:rsid w:val="006701EA"/>
    <w:rsid w:val="00677C39"/>
    <w:rsid w:val="00680AC5"/>
    <w:rsid w:val="00681E30"/>
    <w:rsid w:val="00686556"/>
    <w:rsid w:val="00687045"/>
    <w:rsid w:val="00690A49"/>
    <w:rsid w:val="006959C4"/>
    <w:rsid w:val="006A3DED"/>
    <w:rsid w:val="006A47A9"/>
    <w:rsid w:val="006B07F7"/>
    <w:rsid w:val="006B75A6"/>
    <w:rsid w:val="006C1360"/>
    <w:rsid w:val="006C1369"/>
    <w:rsid w:val="006C1CC9"/>
    <w:rsid w:val="006F0D34"/>
    <w:rsid w:val="006F34AD"/>
    <w:rsid w:val="006F6AF9"/>
    <w:rsid w:val="007114E2"/>
    <w:rsid w:val="00713DA9"/>
    <w:rsid w:val="00716F28"/>
    <w:rsid w:val="007175EC"/>
    <w:rsid w:val="00721E95"/>
    <w:rsid w:val="00725A45"/>
    <w:rsid w:val="00726F8D"/>
    <w:rsid w:val="00750554"/>
    <w:rsid w:val="00753436"/>
    <w:rsid w:val="00754EA7"/>
    <w:rsid w:val="00757BEE"/>
    <w:rsid w:val="007668FE"/>
    <w:rsid w:val="00766D61"/>
    <w:rsid w:val="00766D87"/>
    <w:rsid w:val="00776A63"/>
    <w:rsid w:val="00776EA8"/>
    <w:rsid w:val="00790F07"/>
    <w:rsid w:val="00793390"/>
    <w:rsid w:val="00797205"/>
    <w:rsid w:val="007B00F5"/>
    <w:rsid w:val="007B2CA1"/>
    <w:rsid w:val="007C4C86"/>
    <w:rsid w:val="007E0913"/>
    <w:rsid w:val="007E78D4"/>
    <w:rsid w:val="007F6A23"/>
    <w:rsid w:val="0080128E"/>
    <w:rsid w:val="008030F1"/>
    <w:rsid w:val="0080326D"/>
    <w:rsid w:val="00811031"/>
    <w:rsid w:val="0082211C"/>
    <w:rsid w:val="00823F4D"/>
    <w:rsid w:val="0082463C"/>
    <w:rsid w:val="00825615"/>
    <w:rsid w:val="00833222"/>
    <w:rsid w:val="00834B9A"/>
    <w:rsid w:val="00835D15"/>
    <w:rsid w:val="00840FA5"/>
    <w:rsid w:val="00850E2C"/>
    <w:rsid w:val="00851441"/>
    <w:rsid w:val="00853AAB"/>
    <w:rsid w:val="008612FE"/>
    <w:rsid w:val="00863197"/>
    <w:rsid w:val="008722CE"/>
    <w:rsid w:val="008767D4"/>
    <w:rsid w:val="00881374"/>
    <w:rsid w:val="0088386C"/>
    <w:rsid w:val="00884B99"/>
    <w:rsid w:val="00886106"/>
    <w:rsid w:val="008875BD"/>
    <w:rsid w:val="008A3F93"/>
    <w:rsid w:val="008A6680"/>
    <w:rsid w:val="008A76EA"/>
    <w:rsid w:val="008B1BDF"/>
    <w:rsid w:val="008C2E4C"/>
    <w:rsid w:val="008E78C8"/>
    <w:rsid w:val="008F133A"/>
    <w:rsid w:val="008F25F3"/>
    <w:rsid w:val="00903A0C"/>
    <w:rsid w:val="009176E5"/>
    <w:rsid w:val="009178E1"/>
    <w:rsid w:val="00922BDE"/>
    <w:rsid w:val="00922CE3"/>
    <w:rsid w:val="00922DF4"/>
    <w:rsid w:val="009321A5"/>
    <w:rsid w:val="0093411F"/>
    <w:rsid w:val="0093473F"/>
    <w:rsid w:val="00934EB0"/>
    <w:rsid w:val="0093757F"/>
    <w:rsid w:val="00940E17"/>
    <w:rsid w:val="00951C84"/>
    <w:rsid w:val="00957C3D"/>
    <w:rsid w:val="00962760"/>
    <w:rsid w:val="00963CF5"/>
    <w:rsid w:val="00970090"/>
    <w:rsid w:val="009728E5"/>
    <w:rsid w:val="0097547B"/>
    <w:rsid w:val="00976812"/>
    <w:rsid w:val="00977394"/>
    <w:rsid w:val="00982EFA"/>
    <w:rsid w:val="009838EB"/>
    <w:rsid w:val="0099726B"/>
    <w:rsid w:val="009A3444"/>
    <w:rsid w:val="009B0739"/>
    <w:rsid w:val="009B373B"/>
    <w:rsid w:val="009C0DE8"/>
    <w:rsid w:val="009E0501"/>
    <w:rsid w:val="009E1BCC"/>
    <w:rsid w:val="009E3198"/>
    <w:rsid w:val="009E5112"/>
    <w:rsid w:val="009E5DCC"/>
    <w:rsid w:val="00A07E9F"/>
    <w:rsid w:val="00A1204E"/>
    <w:rsid w:val="00A12DA5"/>
    <w:rsid w:val="00A16847"/>
    <w:rsid w:val="00A351E8"/>
    <w:rsid w:val="00A602ED"/>
    <w:rsid w:val="00A64C29"/>
    <w:rsid w:val="00A733F0"/>
    <w:rsid w:val="00A7516A"/>
    <w:rsid w:val="00A76A64"/>
    <w:rsid w:val="00A81098"/>
    <w:rsid w:val="00A868E1"/>
    <w:rsid w:val="00A86B50"/>
    <w:rsid w:val="00A87663"/>
    <w:rsid w:val="00AA12E3"/>
    <w:rsid w:val="00AB7276"/>
    <w:rsid w:val="00AC05DD"/>
    <w:rsid w:val="00AC06AF"/>
    <w:rsid w:val="00AC2CD2"/>
    <w:rsid w:val="00AC6297"/>
    <w:rsid w:val="00AD192A"/>
    <w:rsid w:val="00AD1A89"/>
    <w:rsid w:val="00AE6FFE"/>
    <w:rsid w:val="00AF739B"/>
    <w:rsid w:val="00B00254"/>
    <w:rsid w:val="00B010E2"/>
    <w:rsid w:val="00B12B96"/>
    <w:rsid w:val="00B13B35"/>
    <w:rsid w:val="00B13DC6"/>
    <w:rsid w:val="00B14668"/>
    <w:rsid w:val="00B15549"/>
    <w:rsid w:val="00B16131"/>
    <w:rsid w:val="00B32748"/>
    <w:rsid w:val="00B3571B"/>
    <w:rsid w:val="00B410EB"/>
    <w:rsid w:val="00B426FF"/>
    <w:rsid w:val="00B506B3"/>
    <w:rsid w:val="00B555AF"/>
    <w:rsid w:val="00B63743"/>
    <w:rsid w:val="00B6716F"/>
    <w:rsid w:val="00B70640"/>
    <w:rsid w:val="00B72016"/>
    <w:rsid w:val="00B827F9"/>
    <w:rsid w:val="00B85753"/>
    <w:rsid w:val="00B90DAD"/>
    <w:rsid w:val="00B936DA"/>
    <w:rsid w:val="00BA2305"/>
    <w:rsid w:val="00BA5A26"/>
    <w:rsid w:val="00BA6FC9"/>
    <w:rsid w:val="00BB5F9B"/>
    <w:rsid w:val="00BC03AD"/>
    <w:rsid w:val="00BC370C"/>
    <w:rsid w:val="00BC7789"/>
    <w:rsid w:val="00BC7CE1"/>
    <w:rsid w:val="00BD441B"/>
    <w:rsid w:val="00BD7E80"/>
    <w:rsid w:val="00BE7657"/>
    <w:rsid w:val="00BF7910"/>
    <w:rsid w:val="00C05A0E"/>
    <w:rsid w:val="00C05FE2"/>
    <w:rsid w:val="00C06A41"/>
    <w:rsid w:val="00C103C8"/>
    <w:rsid w:val="00C114C3"/>
    <w:rsid w:val="00C11C7D"/>
    <w:rsid w:val="00C17ED3"/>
    <w:rsid w:val="00C20748"/>
    <w:rsid w:val="00C26B8F"/>
    <w:rsid w:val="00C26E0E"/>
    <w:rsid w:val="00C30504"/>
    <w:rsid w:val="00C457A3"/>
    <w:rsid w:val="00C46895"/>
    <w:rsid w:val="00C55B6E"/>
    <w:rsid w:val="00C57363"/>
    <w:rsid w:val="00C62909"/>
    <w:rsid w:val="00C67082"/>
    <w:rsid w:val="00C72C97"/>
    <w:rsid w:val="00C910A7"/>
    <w:rsid w:val="00C91D86"/>
    <w:rsid w:val="00C92A90"/>
    <w:rsid w:val="00C944D5"/>
    <w:rsid w:val="00C97B49"/>
    <w:rsid w:val="00CA14CA"/>
    <w:rsid w:val="00CA2CC3"/>
    <w:rsid w:val="00CA44C4"/>
    <w:rsid w:val="00CB43EB"/>
    <w:rsid w:val="00CB4BC4"/>
    <w:rsid w:val="00CD2510"/>
    <w:rsid w:val="00CD7255"/>
    <w:rsid w:val="00CE2CC0"/>
    <w:rsid w:val="00CE3414"/>
    <w:rsid w:val="00CE39FF"/>
    <w:rsid w:val="00CF0828"/>
    <w:rsid w:val="00CF293F"/>
    <w:rsid w:val="00CF3F4B"/>
    <w:rsid w:val="00CF405E"/>
    <w:rsid w:val="00D021B1"/>
    <w:rsid w:val="00D0530D"/>
    <w:rsid w:val="00D12F3F"/>
    <w:rsid w:val="00D16D26"/>
    <w:rsid w:val="00D201AF"/>
    <w:rsid w:val="00D27D06"/>
    <w:rsid w:val="00D37F78"/>
    <w:rsid w:val="00D53D16"/>
    <w:rsid w:val="00D54911"/>
    <w:rsid w:val="00D56512"/>
    <w:rsid w:val="00D71751"/>
    <w:rsid w:val="00D75AC3"/>
    <w:rsid w:val="00D853B0"/>
    <w:rsid w:val="00D932A6"/>
    <w:rsid w:val="00D9457C"/>
    <w:rsid w:val="00D952E5"/>
    <w:rsid w:val="00DA6B3B"/>
    <w:rsid w:val="00DC1E9B"/>
    <w:rsid w:val="00DD13F0"/>
    <w:rsid w:val="00DD475D"/>
    <w:rsid w:val="00DD5DC6"/>
    <w:rsid w:val="00DE1F78"/>
    <w:rsid w:val="00DE32F1"/>
    <w:rsid w:val="00DE346C"/>
    <w:rsid w:val="00DF04D5"/>
    <w:rsid w:val="00DF23FD"/>
    <w:rsid w:val="00DF662C"/>
    <w:rsid w:val="00E1114B"/>
    <w:rsid w:val="00E13764"/>
    <w:rsid w:val="00E15739"/>
    <w:rsid w:val="00E21DE5"/>
    <w:rsid w:val="00E45850"/>
    <w:rsid w:val="00E459B9"/>
    <w:rsid w:val="00E46EBA"/>
    <w:rsid w:val="00E55085"/>
    <w:rsid w:val="00E6631E"/>
    <w:rsid w:val="00E7199F"/>
    <w:rsid w:val="00E749D0"/>
    <w:rsid w:val="00E82A4B"/>
    <w:rsid w:val="00E86CD3"/>
    <w:rsid w:val="00E90A82"/>
    <w:rsid w:val="00E94640"/>
    <w:rsid w:val="00EA2CB2"/>
    <w:rsid w:val="00EA785F"/>
    <w:rsid w:val="00EB451D"/>
    <w:rsid w:val="00EC442B"/>
    <w:rsid w:val="00ED0022"/>
    <w:rsid w:val="00ED5DB4"/>
    <w:rsid w:val="00ED6A35"/>
    <w:rsid w:val="00EE0D2D"/>
    <w:rsid w:val="00EE5E74"/>
    <w:rsid w:val="00EF1D0C"/>
    <w:rsid w:val="00EF5EB6"/>
    <w:rsid w:val="00EF77C1"/>
    <w:rsid w:val="00F056D3"/>
    <w:rsid w:val="00F07668"/>
    <w:rsid w:val="00F16980"/>
    <w:rsid w:val="00F17D0D"/>
    <w:rsid w:val="00F21151"/>
    <w:rsid w:val="00F26CD1"/>
    <w:rsid w:val="00F43495"/>
    <w:rsid w:val="00F44314"/>
    <w:rsid w:val="00F44666"/>
    <w:rsid w:val="00F47B9A"/>
    <w:rsid w:val="00F518F4"/>
    <w:rsid w:val="00F55B46"/>
    <w:rsid w:val="00F56DC3"/>
    <w:rsid w:val="00F57187"/>
    <w:rsid w:val="00F61A99"/>
    <w:rsid w:val="00F76260"/>
    <w:rsid w:val="00F77466"/>
    <w:rsid w:val="00F91E53"/>
    <w:rsid w:val="00FA0265"/>
    <w:rsid w:val="00FA6E56"/>
    <w:rsid w:val="00FA723B"/>
    <w:rsid w:val="00FB010B"/>
    <w:rsid w:val="00FB27BD"/>
    <w:rsid w:val="00FB3697"/>
    <w:rsid w:val="00FC0E85"/>
    <w:rsid w:val="00FC20BB"/>
    <w:rsid w:val="00FC70BD"/>
    <w:rsid w:val="00FC7F6F"/>
    <w:rsid w:val="00FD2EE0"/>
    <w:rsid w:val="00FD3716"/>
    <w:rsid w:val="00FD46D7"/>
    <w:rsid w:val="00FE0D58"/>
    <w:rsid w:val="00FE3532"/>
    <w:rsid w:val="00FE406A"/>
    <w:rsid w:val="00FE5115"/>
    <w:rsid w:val="00FE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9F9E22"/>
  <w15:docId w15:val="{76AC85B7-73B0-4ADD-AC6B-7D0974880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armleftmargin000">
    <w:name w:val="arm_leftmargin_000"/>
    <w:basedOn w:val="Normal"/>
    <w:rsid w:val="00F16980"/>
    <w:pPr>
      <w:spacing w:after="240"/>
    </w:pPr>
    <w:rPr>
      <w:rFonts w:ascii="Times New Roman" w:hAnsi="Times New Roman" w:cs="Times New Roman"/>
      <w:sz w:val="24"/>
      <w:szCs w:val="24"/>
    </w:rPr>
  </w:style>
  <w:style w:type="paragraph" w:customStyle="1" w:styleId="armleftmargin025">
    <w:name w:val="arm_leftmargin_025"/>
    <w:basedOn w:val="Normal"/>
    <w:rsid w:val="00F16980"/>
    <w:pPr>
      <w:spacing w:after="24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459830">
      <w:bodyDiv w:val="1"/>
      <w:marLeft w:val="0"/>
      <w:marRight w:val="0"/>
      <w:marTop w:val="0"/>
      <w:marBottom w:val="0"/>
      <w:divBdr>
        <w:top w:val="none" w:sz="0" w:space="0" w:color="auto"/>
        <w:left w:val="none" w:sz="0" w:space="0" w:color="auto"/>
        <w:bottom w:val="none" w:sz="0" w:space="0" w:color="auto"/>
        <w:right w:val="none" w:sz="0" w:space="0" w:color="auto"/>
      </w:divBdr>
    </w:div>
    <w:div w:id="303781878">
      <w:bodyDiv w:val="1"/>
      <w:marLeft w:val="0"/>
      <w:marRight w:val="0"/>
      <w:marTop w:val="0"/>
      <w:marBottom w:val="0"/>
      <w:divBdr>
        <w:top w:val="none" w:sz="0" w:space="0" w:color="auto"/>
        <w:left w:val="none" w:sz="0" w:space="0" w:color="auto"/>
        <w:bottom w:val="none" w:sz="0" w:space="0" w:color="auto"/>
        <w:right w:val="none" w:sz="0" w:space="0" w:color="auto"/>
      </w:divBdr>
      <w:divsChild>
        <w:div w:id="428046969">
          <w:marLeft w:val="0"/>
          <w:marRight w:val="0"/>
          <w:marTop w:val="0"/>
          <w:marBottom w:val="0"/>
          <w:divBdr>
            <w:top w:val="none" w:sz="0" w:space="0" w:color="auto"/>
            <w:left w:val="none" w:sz="0" w:space="0" w:color="auto"/>
            <w:bottom w:val="none" w:sz="0" w:space="0" w:color="auto"/>
            <w:right w:val="none" w:sz="0" w:space="0" w:color="auto"/>
          </w:divBdr>
          <w:divsChild>
            <w:div w:id="1800149992">
              <w:marLeft w:val="0"/>
              <w:marRight w:val="0"/>
              <w:marTop w:val="0"/>
              <w:marBottom w:val="0"/>
              <w:divBdr>
                <w:top w:val="none" w:sz="0" w:space="0" w:color="auto"/>
                <w:left w:val="none" w:sz="0" w:space="0" w:color="auto"/>
                <w:bottom w:val="none" w:sz="0" w:space="0" w:color="auto"/>
                <w:right w:val="none" w:sz="0" w:space="0" w:color="auto"/>
              </w:divBdr>
              <w:divsChild>
                <w:div w:id="1838381447">
                  <w:marLeft w:val="0"/>
                  <w:marRight w:val="0"/>
                  <w:marTop w:val="0"/>
                  <w:marBottom w:val="0"/>
                  <w:divBdr>
                    <w:top w:val="none" w:sz="0" w:space="0" w:color="auto"/>
                    <w:left w:val="none" w:sz="0" w:space="0" w:color="auto"/>
                    <w:bottom w:val="none" w:sz="0" w:space="0" w:color="auto"/>
                    <w:right w:val="none" w:sz="0" w:space="0" w:color="auto"/>
                  </w:divBdr>
                  <w:divsChild>
                    <w:div w:id="682126116">
                      <w:marLeft w:val="-150"/>
                      <w:marRight w:val="-150"/>
                      <w:marTop w:val="0"/>
                      <w:marBottom w:val="0"/>
                      <w:divBdr>
                        <w:top w:val="none" w:sz="0" w:space="0" w:color="auto"/>
                        <w:left w:val="none" w:sz="0" w:space="0" w:color="auto"/>
                        <w:bottom w:val="none" w:sz="0" w:space="0" w:color="auto"/>
                        <w:right w:val="none" w:sz="0" w:space="0" w:color="auto"/>
                      </w:divBdr>
                      <w:divsChild>
                        <w:div w:id="2066291341">
                          <w:marLeft w:val="0"/>
                          <w:marRight w:val="0"/>
                          <w:marTop w:val="0"/>
                          <w:marBottom w:val="0"/>
                          <w:divBdr>
                            <w:top w:val="none" w:sz="0" w:space="0" w:color="auto"/>
                            <w:left w:val="none" w:sz="0" w:space="0" w:color="auto"/>
                            <w:bottom w:val="none" w:sz="0" w:space="0" w:color="auto"/>
                            <w:right w:val="none" w:sz="0" w:space="0" w:color="auto"/>
                          </w:divBdr>
                          <w:divsChild>
                            <w:div w:id="624698233">
                              <w:marLeft w:val="0"/>
                              <w:marRight w:val="0"/>
                              <w:marTop w:val="0"/>
                              <w:marBottom w:val="0"/>
                              <w:divBdr>
                                <w:top w:val="none" w:sz="0" w:space="0" w:color="auto"/>
                                <w:left w:val="none" w:sz="0" w:space="0" w:color="auto"/>
                                <w:bottom w:val="none" w:sz="0" w:space="0" w:color="auto"/>
                                <w:right w:val="none" w:sz="0" w:space="0" w:color="auto"/>
                              </w:divBdr>
                              <w:divsChild>
                                <w:div w:id="210653007">
                                  <w:marLeft w:val="0"/>
                                  <w:marRight w:val="0"/>
                                  <w:marTop w:val="0"/>
                                  <w:marBottom w:val="0"/>
                                  <w:divBdr>
                                    <w:top w:val="none" w:sz="0" w:space="0" w:color="auto"/>
                                    <w:left w:val="none" w:sz="0" w:space="0" w:color="auto"/>
                                    <w:bottom w:val="none" w:sz="0" w:space="0" w:color="auto"/>
                                    <w:right w:val="none" w:sz="0" w:space="0" w:color="auto"/>
                                  </w:divBdr>
                                  <w:divsChild>
                                    <w:div w:id="1818566465">
                                      <w:marLeft w:val="0"/>
                                      <w:marRight w:val="0"/>
                                      <w:marTop w:val="0"/>
                                      <w:marBottom w:val="0"/>
                                      <w:divBdr>
                                        <w:top w:val="none" w:sz="0" w:space="0" w:color="auto"/>
                                        <w:left w:val="none" w:sz="0" w:space="0" w:color="auto"/>
                                        <w:bottom w:val="none" w:sz="0" w:space="0" w:color="auto"/>
                                        <w:right w:val="none" w:sz="0" w:space="0" w:color="auto"/>
                                      </w:divBdr>
                                      <w:divsChild>
                                        <w:div w:id="1042048654">
                                          <w:marLeft w:val="0"/>
                                          <w:marRight w:val="0"/>
                                          <w:marTop w:val="0"/>
                                          <w:marBottom w:val="0"/>
                                          <w:divBdr>
                                            <w:top w:val="none" w:sz="0" w:space="0" w:color="auto"/>
                                            <w:left w:val="none" w:sz="0" w:space="0" w:color="auto"/>
                                            <w:bottom w:val="none" w:sz="0" w:space="0" w:color="auto"/>
                                            <w:right w:val="none" w:sz="0" w:space="0" w:color="auto"/>
                                          </w:divBdr>
                                          <w:divsChild>
                                            <w:div w:id="528877393">
                                              <w:marLeft w:val="0"/>
                                              <w:marRight w:val="0"/>
                                              <w:marTop w:val="0"/>
                                              <w:marBottom w:val="0"/>
                                              <w:divBdr>
                                                <w:top w:val="none" w:sz="0" w:space="0" w:color="auto"/>
                                                <w:left w:val="none" w:sz="0" w:space="0" w:color="auto"/>
                                                <w:bottom w:val="none" w:sz="0" w:space="0" w:color="auto"/>
                                                <w:right w:val="none" w:sz="0" w:space="0" w:color="auto"/>
                                              </w:divBdr>
                                              <w:divsChild>
                                                <w:div w:id="951014834">
                                                  <w:marLeft w:val="0"/>
                                                  <w:marRight w:val="0"/>
                                                  <w:marTop w:val="0"/>
                                                  <w:marBottom w:val="0"/>
                                                  <w:divBdr>
                                                    <w:top w:val="none" w:sz="0" w:space="0" w:color="auto"/>
                                                    <w:left w:val="none" w:sz="0" w:space="0" w:color="auto"/>
                                                    <w:bottom w:val="none" w:sz="0" w:space="0" w:color="auto"/>
                                                    <w:right w:val="none" w:sz="0" w:space="0" w:color="auto"/>
                                                  </w:divBdr>
                                                  <w:divsChild>
                                                    <w:div w:id="1468357750">
                                                      <w:marLeft w:val="0"/>
                                                      <w:marRight w:val="0"/>
                                                      <w:marTop w:val="0"/>
                                                      <w:marBottom w:val="0"/>
                                                      <w:divBdr>
                                                        <w:top w:val="none" w:sz="0" w:space="0" w:color="auto"/>
                                                        <w:left w:val="none" w:sz="0" w:space="0" w:color="auto"/>
                                                        <w:bottom w:val="none" w:sz="0" w:space="0" w:color="auto"/>
                                                        <w:right w:val="none" w:sz="0" w:space="0" w:color="auto"/>
                                                      </w:divBdr>
                                                      <w:divsChild>
                                                        <w:div w:id="147044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660693110">
      <w:bodyDiv w:val="1"/>
      <w:marLeft w:val="0"/>
      <w:marRight w:val="0"/>
      <w:marTop w:val="0"/>
      <w:marBottom w:val="0"/>
      <w:divBdr>
        <w:top w:val="none" w:sz="0" w:space="0" w:color="auto"/>
        <w:left w:val="none" w:sz="0" w:space="0" w:color="auto"/>
        <w:bottom w:val="none" w:sz="0" w:space="0" w:color="auto"/>
        <w:right w:val="none" w:sz="0" w:space="0" w:color="auto"/>
      </w:divBdr>
    </w:div>
    <w:div w:id="1139032103">
      <w:bodyDiv w:val="1"/>
      <w:marLeft w:val="0"/>
      <w:marRight w:val="0"/>
      <w:marTop w:val="0"/>
      <w:marBottom w:val="0"/>
      <w:divBdr>
        <w:top w:val="none" w:sz="0" w:space="0" w:color="auto"/>
        <w:left w:val="none" w:sz="0" w:space="0" w:color="auto"/>
        <w:bottom w:val="none" w:sz="0" w:space="0" w:color="auto"/>
        <w:right w:val="none" w:sz="0" w:space="0" w:color="auto"/>
      </w:divBdr>
    </w:div>
    <w:div w:id="1202091637">
      <w:bodyDiv w:val="1"/>
      <w:marLeft w:val="0"/>
      <w:marRight w:val="0"/>
      <w:marTop w:val="0"/>
      <w:marBottom w:val="0"/>
      <w:divBdr>
        <w:top w:val="none" w:sz="0" w:space="0" w:color="auto"/>
        <w:left w:val="none" w:sz="0" w:space="0" w:color="auto"/>
        <w:bottom w:val="none" w:sz="0" w:space="0" w:color="auto"/>
        <w:right w:val="none" w:sz="0" w:space="0" w:color="auto"/>
      </w:divBdr>
    </w:div>
    <w:div w:id="210164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4A570C-5BE1-4C2D-A825-D20A29AA0C64}">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F7DAF-C578-428B-BA54-B2ED7746A62C}">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88E5044C-3139-487D-9943-ABE5EA1ED7CC}">
  <ds:schemaRefs>
    <ds:schemaRef ds:uri="http://schemas.microsoft.com/sharepoint/v3/contenttype/forms"/>
  </ds:schemaRefs>
</ds:datastoreItem>
</file>

<file path=customXml/itemProps3.xml><?xml version="1.0" encoding="utf-8"?>
<ds:datastoreItem xmlns:ds="http://schemas.openxmlformats.org/officeDocument/2006/customXml" ds:itemID="{DF8E94C3-3A23-4143-AE4E-EB75BD337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396237F-AC40-4A69-A7FA-D5C4957F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2</cp:revision>
  <cp:lastPrinted>2014-10-08T16:47:00Z</cp:lastPrinted>
  <dcterms:created xsi:type="dcterms:W3CDTF">2019-08-20T20:49:00Z</dcterms:created>
  <dcterms:modified xsi:type="dcterms:W3CDTF">2019-08-20T20:49:00Z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